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925" w:rsidRDefault="00F574C7">
      <w:pPr>
        <w:rPr>
          <w:b/>
          <w:sz w:val="28"/>
          <w:szCs w:val="28"/>
        </w:rPr>
      </w:pPr>
      <w:r>
        <w:rPr>
          <w:b/>
          <w:sz w:val="28"/>
          <w:szCs w:val="28"/>
        </w:rPr>
        <w:t xml:space="preserve">           </w:t>
      </w:r>
      <w:r w:rsidR="00C13266" w:rsidRPr="00C13266">
        <w:rPr>
          <w:b/>
          <w:sz w:val="28"/>
          <w:szCs w:val="28"/>
        </w:rPr>
        <w:t>BỘ TƯ PHÁP</w:t>
      </w:r>
      <w:r>
        <w:rPr>
          <w:b/>
          <w:sz w:val="28"/>
          <w:szCs w:val="28"/>
        </w:rPr>
        <w:t xml:space="preserve">                                      CỘNG HOÀ XÃ HỘI CHỦ NGHĨA VIỆT NAM</w:t>
      </w:r>
    </w:p>
    <w:p w:rsidR="00F574C7" w:rsidRPr="00C13266" w:rsidRDefault="00F574C7">
      <w:pPr>
        <w:rPr>
          <w:b/>
          <w:sz w:val="28"/>
          <w:szCs w:val="28"/>
        </w:rPr>
      </w:pPr>
      <w:r>
        <w:rPr>
          <w:b/>
          <w:sz w:val="28"/>
          <w:szCs w:val="28"/>
        </w:rPr>
        <w:t xml:space="preserve">                  -------                                                             Độc lập - Tự do - Hạnh phúc</w:t>
      </w:r>
    </w:p>
    <w:p w:rsidR="00C13266" w:rsidRDefault="00F574C7">
      <w:r>
        <w:t xml:space="preserve">                                                                                                                      -------------------------</w:t>
      </w:r>
    </w:p>
    <w:p w:rsidR="00F574C7" w:rsidRPr="00411ABF" w:rsidRDefault="00F574C7">
      <w:pPr>
        <w:rPr>
          <w:i/>
          <w:sz w:val="28"/>
          <w:szCs w:val="28"/>
        </w:rPr>
      </w:pPr>
      <w:r w:rsidRPr="00F574C7">
        <w:rPr>
          <w:sz w:val="28"/>
          <w:szCs w:val="28"/>
        </w:rPr>
        <w:t xml:space="preserve">                                                                                                            </w:t>
      </w:r>
      <w:r w:rsidRPr="00411ABF">
        <w:rPr>
          <w:i/>
          <w:sz w:val="28"/>
          <w:szCs w:val="28"/>
        </w:rPr>
        <w:t>Hà Nội, ngày 05 tháng 3 năm 2026</w:t>
      </w:r>
    </w:p>
    <w:p w:rsidR="00F574C7" w:rsidRDefault="00F574C7"/>
    <w:p w:rsidR="00C13266" w:rsidRDefault="00C13266"/>
    <w:p w:rsidR="00C13266" w:rsidRPr="00244C94" w:rsidRDefault="00C13266" w:rsidP="00C13266">
      <w:pPr>
        <w:ind w:right="0"/>
        <w:jc w:val="center"/>
        <w:rPr>
          <w:b/>
          <w:sz w:val="28"/>
          <w:szCs w:val="28"/>
          <w:lang w:val="vi-VN"/>
        </w:rPr>
      </w:pPr>
      <w:r w:rsidRPr="00244C94">
        <w:rPr>
          <w:b/>
          <w:sz w:val="28"/>
          <w:szCs w:val="28"/>
          <w:lang w:val="vi-VN"/>
        </w:rPr>
        <w:t>B</w:t>
      </w:r>
      <w:r w:rsidRPr="00244C94">
        <w:rPr>
          <w:b/>
          <w:sz w:val="28"/>
          <w:szCs w:val="28"/>
          <w:lang w:val="pt-BR"/>
        </w:rPr>
        <w:t xml:space="preserve">ẢN </w:t>
      </w:r>
      <w:r w:rsidRPr="00244C94">
        <w:rPr>
          <w:b/>
          <w:sz w:val="28"/>
          <w:szCs w:val="28"/>
          <w:lang w:val="vi-VN"/>
        </w:rPr>
        <w:t xml:space="preserve">SO SÁNH, </w:t>
      </w:r>
      <w:r w:rsidRPr="00244C94">
        <w:rPr>
          <w:b/>
          <w:sz w:val="28"/>
          <w:szCs w:val="28"/>
          <w:lang w:val="pt-BR"/>
        </w:rPr>
        <w:t xml:space="preserve">THUYẾT MINH </w:t>
      </w:r>
    </w:p>
    <w:p w:rsidR="00C13266" w:rsidRPr="00C13266" w:rsidRDefault="00C13266" w:rsidP="00C13266">
      <w:pPr>
        <w:ind w:right="0"/>
        <w:jc w:val="center"/>
        <w:rPr>
          <w:b/>
          <w:sz w:val="28"/>
          <w:szCs w:val="28"/>
        </w:rPr>
      </w:pPr>
      <w:r w:rsidRPr="00244C94">
        <w:rPr>
          <w:b/>
          <w:sz w:val="28"/>
          <w:szCs w:val="28"/>
          <w:lang w:val="pt-BR"/>
        </w:rPr>
        <w:t xml:space="preserve">Dự thảo </w:t>
      </w:r>
      <w:r>
        <w:rPr>
          <w:b/>
          <w:sz w:val="28"/>
          <w:szCs w:val="28"/>
        </w:rPr>
        <w:t>Quyết định sửa đổi, bổ sung Quyết định số 08/2025/QĐ-TTg ngày 04/4/2025 của Thủ tướng Chính phủ về chế độ bồi dưỡng giám định tư pháp</w:t>
      </w:r>
    </w:p>
    <w:p w:rsidR="00C13266" w:rsidRPr="00244C94" w:rsidRDefault="00C13266" w:rsidP="00C13266">
      <w:pPr>
        <w:jc w:val="center"/>
        <w:rPr>
          <w:b/>
          <w:iCs/>
          <w:sz w:val="26"/>
          <w:szCs w:val="26"/>
          <w:lang w:val="vi-VN"/>
        </w:rPr>
      </w:pPr>
    </w:p>
    <w:tbl>
      <w:tblPr>
        <w:tblW w:w="1598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5544"/>
        <w:gridCol w:w="5812"/>
        <w:gridCol w:w="4050"/>
      </w:tblGrid>
      <w:tr w:rsidR="00C13266" w:rsidRPr="00244C94" w:rsidTr="00506645">
        <w:trPr>
          <w:tblHeader/>
        </w:trPr>
        <w:tc>
          <w:tcPr>
            <w:tcW w:w="581" w:type="dxa"/>
            <w:vAlign w:val="center"/>
          </w:tcPr>
          <w:p w:rsidR="00C13266" w:rsidRPr="00244C94" w:rsidRDefault="00C13266" w:rsidP="00307011">
            <w:pPr>
              <w:tabs>
                <w:tab w:val="left" w:pos="2311"/>
              </w:tabs>
              <w:spacing w:before="60"/>
              <w:ind w:right="0"/>
              <w:jc w:val="center"/>
              <w:rPr>
                <w:b/>
                <w:sz w:val="28"/>
                <w:szCs w:val="28"/>
              </w:rPr>
            </w:pPr>
            <w:r w:rsidRPr="00244C94">
              <w:rPr>
                <w:b/>
                <w:sz w:val="28"/>
                <w:szCs w:val="28"/>
              </w:rPr>
              <w:t>STT</w:t>
            </w:r>
          </w:p>
        </w:tc>
        <w:tc>
          <w:tcPr>
            <w:tcW w:w="5544" w:type="dxa"/>
            <w:vAlign w:val="center"/>
          </w:tcPr>
          <w:p w:rsidR="00C13266" w:rsidRPr="00244C94" w:rsidRDefault="00904D7B" w:rsidP="00307011">
            <w:pPr>
              <w:tabs>
                <w:tab w:val="left" w:pos="2311"/>
              </w:tabs>
              <w:spacing w:before="60"/>
              <w:ind w:right="0"/>
              <w:jc w:val="center"/>
              <w:rPr>
                <w:b/>
                <w:sz w:val="28"/>
                <w:szCs w:val="28"/>
                <w:lang w:val="vi-VN"/>
              </w:rPr>
            </w:pPr>
            <w:r>
              <w:rPr>
                <w:b/>
                <w:sz w:val="28"/>
                <w:szCs w:val="28"/>
              </w:rPr>
              <w:t>Quyết định số 08/2025/QĐ-TTg</w:t>
            </w:r>
          </w:p>
        </w:tc>
        <w:tc>
          <w:tcPr>
            <w:tcW w:w="5812" w:type="dxa"/>
            <w:vAlign w:val="center"/>
          </w:tcPr>
          <w:p w:rsidR="00C13266" w:rsidRPr="00244C94" w:rsidRDefault="00C13266" w:rsidP="00904D7B">
            <w:pPr>
              <w:tabs>
                <w:tab w:val="left" w:pos="2311"/>
              </w:tabs>
              <w:spacing w:before="60"/>
              <w:ind w:right="0"/>
              <w:jc w:val="center"/>
              <w:rPr>
                <w:b/>
                <w:sz w:val="28"/>
                <w:szCs w:val="28"/>
                <w:lang w:val="vi-VN"/>
              </w:rPr>
            </w:pPr>
            <w:r w:rsidRPr="00244C94">
              <w:rPr>
                <w:b/>
                <w:sz w:val="28"/>
                <w:szCs w:val="28"/>
                <w:lang w:val="vi-VN"/>
              </w:rPr>
              <w:t xml:space="preserve">Dự thảo </w:t>
            </w:r>
            <w:r w:rsidR="00904D7B">
              <w:rPr>
                <w:b/>
                <w:sz w:val="28"/>
                <w:szCs w:val="28"/>
              </w:rPr>
              <w:t>Quyết định sửa đổi, bổ sung Quyết định số 08/2025/QĐ-TTg</w:t>
            </w:r>
          </w:p>
        </w:tc>
        <w:tc>
          <w:tcPr>
            <w:tcW w:w="4050" w:type="dxa"/>
            <w:vAlign w:val="center"/>
          </w:tcPr>
          <w:p w:rsidR="00C13266" w:rsidRPr="00244C94" w:rsidRDefault="00C13266" w:rsidP="00307011">
            <w:pPr>
              <w:tabs>
                <w:tab w:val="left" w:pos="2311"/>
              </w:tabs>
              <w:spacing w:before="60"/>
              <w:ind w:right="0"/>
              <w:jc w:val="center"/>
              <w:rPr>
                <w:b/>
                <w:sz w:val="28"/>
                <w:szCs w:val="28"/>
                <w:lang w:val="vi-VN"/>
              </w:rPr>
            </w:pPr>
            <w:r w:rsidRPr="00244C94">
              <w:rPr>
                <w:b/>
                <w:sz w:val="28"/>
                <w:szCs w:val="28"/>
                <w:lang w:val="vi-VN"/>
              </w:rPr>
              <w:t>Thuyết minh</w:t>
            </w:r>
          </w:p>
        </w:tc>
      </w:tr>
      <w:tr w:rsidR="00C13266" w:rsidRPr="00244C94" w:rsidTr="00506645">
        <w:trPr>
          <w:trHeight w:val="70"/>
          <w:tblHeader/>
        </w:trPr>
        <w:tc>
          <w:tcPr>
            <w:tcW w:w="581" w:type="dxa"/>
            <w:vAlign w:val="center"/>
          </w:tcPr>
          <w:p w:rsidR="00C13266" w:rsidRPr="00244C94" w:rsidRDefault="00C13266" w:rsidP="00307011">
            <w:pPr>
              <w:tabs>
                <w:tab w:val="left" w:pos="2311"/>
              </w:tabs>
              <w:spacing w:before="60"/>
              <w:ind w:right="0"/>
              <w:jc w:val="center"/>
              <w:rPr>
                <w:bCs/>
                <w:i/>
                <w:iCs/>
                <w:sz w:val="22"/>
                <w:szCs w:val="22"/>
              </w:rPr>
            </w:pPr>
            <w:r w:rsidRPr="00244C94">
              <w:rPr>
                <w:bCs/>
                <w:i/>
                <w:iCs/>
                <w:sz w:val="22"/>
                <w:szCs w:val="22"/>
              </w:rPr>
              <w:t>(1)</w:t>
            </w:r>
          </w:p>
        </w:tc>
        <w:tc>
          <w:tcPr>
            <w:tcW w:w="5544" w:type="dxa"/>
          </w:tcPr>
          <w:p w:rsidR="00C13266" w:rsidRPr="00244C94" w:rsidRDefault="00C13266" w:rsidP="00307011">
            <w:pPr>
              <w:tabs>
                <w:tab w:val="left" w:pos="2311"/>
              </w:tabs>
              <w:spacing w:before="60"/>
              <w:ind w:right="0"/>
              <w:jc w:val="center"/>
              <w:rPr>
                <w:bCs/>
                <w:i/>
                <w:iCs/>
                <w:sz w:val="22"/>
                <w:szCs w:val="22"/>
              </w:rPr>
            </w:pPr>
            <w:r w:rsidRPr="00244C94">
              <w:rPr>
                <w:bCs/>
                <w:i/>
                <w:iCs/>
                <w:sz w:val="22"/>
                <w:szCs w:val="22"/>
              </w:rPr>
              <w:t>(2)</w:t>
            </w:r>
          </w:p>
        </w:tc>
        <w:tc>
          <w:tcPr>
            <w:tcW w:w="5812" w:type="dxa"/>
          </w:tcPr>
          <w:p w:rsidR="00C13266" w:rsidRPr="00244C94" w:rsidRDefault="00C13266" w:rsidP="00307011">
            <w:pPr>
              <w:tabs>
                <w:tab w:val="left" w:pos="2311"/>
              </w:tabs>
              <w:spacing w:before="60"/>
              <w:ind w:right="0"/>
              <w:jc w:val="center"/>
              <w:rPr>
                <w:bCs/>
                <w:i/>
                <w:iCs/>
                <w:sz w:val="22"/>
                <w:szCs w:val="22"/>
              </w:rPr>
            </w:pPr>
            <w:r w:rsidRPr="00244C94">
              <w:rPr>
                <w:bCs/>
                <w:i/>
                <w:iCs/>
                <w:sz w:val="22"/>
                <w:szCs w:val="22"/>
              </w:rPr>
              <w:t>(3)</w:t>
            </w:r>
          </w:p>
        </w:tc>
        <w:tc>
          <w:tcPr>
            <w:tcW w:w="4050" w:type="dxa"/>
          </w:tcPr>
          <w:p w:rsidR="00C13266" w:rsidRPr="00244C94" w:rsidRDefault="00C13266" w:rsidP="00307011">
            <w:pPr>
              <w:tabs>
                <w:tab w:val="left" w:pos="2311"/>
              </w:tabs>
              <w:spacing w:before="60"/>
              <w:ind w:right="0"/>
              <w:jc w:val="center"/>
              <w:rPr>
                <w:bCs/>
                <w:i/>
                <w:iCs/>
                <w:sz w:val="22"/>
                <w:szCs w:val="22"/>
              </w:rPr>
            </w:pPr>
            <w:r w:rsidRPr="00244C94">
              <w:rPr>
                <w:bCs/>
                <w:i/>
                <w:iCs/>
                <w:sz w:val="22"/>
                <w:szCs w:val="22"/>
              </w:rPr>
              <w:t>(4)</w:t>
            </w:r>
          </w:p>
        </w:tc>
      </w:tr>
      <w:tr w:rsidR="00C13266" w:rsidRPr="00244C94" w:rsidTr="00506645">
        <w:trPr>
          <w:trHeight w:val="872"/>
        </w:trPr>
        <w:tc>
          <w:tcPr>
            <w:tcW w:w="581" w:type="dxa"/>
            <w:vAlign w:val="center"/>
          </w:tcPr>
          <w:p w:rsidR="00C13266" w:rsidRPr="00244C94" w:rsidRDefault="00C13266" w:rsidP="00307011">
            <w:pPr>
              <w:pStyle w:val="NormalWeb"/>
              <w:widowControl w:val="0"/>
              <w:spacing w:before="60" w:beforeAutospacing="0" w:after="0" w:afterAutospacing="0"/>
              <w:jc w:val="center"/>
              <w:rPr>
                <w:b/>
                <w:sz w:val="28"/>
                <w:szCs w:val="28"/>
              </w:rPr>
            </w:pPr>
            <w:r w:rsidRPr="00244C94">
              <w:rPr>
                <w:b/>
                <w:sz w:val="28"/>
                <w:szCs w:val="28"/>
              </w:rPr>
              <w:t>I</w:t>
            </w:r>
          </w:p>
        </w:tc>
        <w:tc>
          <w:tcPr>
            <w:tcW w:w="5544" w:type="dxa"/>
          </w:tcPr>
          <w:p w:rsidR="00C13266" w:rsidRPr="00244C94" w:rsidRDefault="00C13266" w:rsidP="00307011">
            <w:pPr>
              <w:pStyle w:val="NormalWeb"/>
              <w:widowControl w:val="0"/>
              <w:spacing w:before="60" w:beforeAutospacing="0" w:after="0" w:afterAutospacing="0"/>
              <w:jc w:val="center"/>
              <w:rPr>
                <w:b/>
                <w:bCs/>
                <w:sz w:val="28"/>
                <w:szCs w:val="28"/>
              </w:rPr>
            </w:pPr>
            <w:r w:rsidRPr="00244C94">
              <w:rPr>
                <w:b/>
                <w:bCs/>
                <w:sz w:val="28"/>
                <w:szCs w:val="28"/>
              </w:rPr>
              <w:t>Chương I</w:t>
            </w:r>
          </w:p>
          <w:p w:rsidR="00C13266" w:rsidRPr="00244C94" w:rsidRDefault="00C13266" w:rsidP="00307011">
            <w:pPr>
              <w:pStyle w:val="NormalWeb"/>
              <w:widowControl w:val="0"/>
              <w:spacing w:before="60" w:beforeAutospacing="0" w:after="0" w:afterAutospacing="0"/>
              <w:jc w:val="center"/>
              <w:rPr>
                <w:b/>
                <w:bCs/>
                <w:sz w:val="28"/>
                <w:szCs w:val="28"/>
              </w:rPr>
            </w:pPr>
            <w:r w:rsidRPr="00244C94">
              <w:rPr>
                <w:b/>
                <w:bCs/>
                <w:sz w:val="28"/>
                <w:szCs w:val="28"/>
              </w:rPr>
              <w:t>QUY ĐỊNH CHUNG</w:t>
            </w:r>
          </w:p>
        </w:tc>
        <w:tc>
          <w:tcPr>
            <w:tcW w:w="5812" w:type="dxa"/>
          </w:tcPr>
          <w:p w:rsidR="00C13266" w:rsidRPr="00244C94" w:rsidRDefault="00C13266" w:rsidP="00307011">
            <w:pPr>
              <w:widowControl w:val="0"/>
              <w:spacing w:before="60"/>
              <w:ind w:right="0"/>
              <w:jc w:val="center"/>
              <w:rPr>
                <w:rFonts w:eastAsia="Times New Roman"/>
                <w:b/>
                <w:bCs/>
                <w:sz w:val="28"/>
                <w:szCs w:val="28"/>
              </w:rPr>
            </w:pPr>
            <w:r w:rsidRPr="00244C94">
              <w:rPr>
                <w:rFonts w:eastAsia="Times New Roman"/>
                <w:b/>
                <w:bCs/>
                <w:sz w:val="28"/>
                <w:szCs w:val="28"/>
              </w:rPr>
              <w:t>Chương I</w:t>
            </w:r>
          </w:p>
          <w:p w:rsidR="00C13266" w:rsidRPr="00244C94" w:rsidRDefault="00C13266" w:rsidP="00307011">
            <w:pPr>
              <w:widowControl w:val="0"/>
              <w:spacing w:before="60"/>
              <w:ind w:right="0"/>
              <w:jc w:val="center"/>
              <w:rPr>
                <w:rFonts w:eastAsia="Times New Roman"/>
                <w:b/>
                <w:bCs/>
                <w:sz w:val="28"/>
                <w:szCs w:val="28"/>
              </w:rPr>
            </w:pPr>
            <w:r w:rsidRPr="00244C94">
              <w:rPr>
                <w:rFonts w:eastAsia="Times New Roman"/>
                <w:b/>
                <w:bCs/>
                <w:sz w:val="28"/>
                <w:szCs w:val="28"/>
              </w:rPr>
              <w:t>QUY ĐỊNH CHUNG</w:t>
            </w:r>
          </w:p>
        </w:tc>
        <w:tc>
          <w:tcPr>
            <w:tcW w:w="4050" w:type="dxa"/>
          </w:tcPr>
          <w:p w:rsidR="00C13266" w:rsidRPr="00244C94" w:rsidRDefault="00C13266" w:rsidP="00307011">
            <w:pPr>
              <w:spacing w:before="60"/>
              <w:ind w:right="0"/>
              <w:jc w:val="both"/>
              <w:rPr>
                <w:sz w:val="28"/>
                <w:szCs w:val="28"/>
                <w:lang w:val="vi-VN"/>
              </w:rPr>
            </w:pPr>
          </w:p>
        </w:tc>
      </w:tr>
      <w:tr w:rsidR="00C13266" w:rsidRPr="00244C94" w:rsidTr="00506645">
        <w:trPr>
          <w:trHeight w:val="764"/>
        </w:trPr>
        <w:tc>
          <w:tcPr>
            <w:tcW w:w="581" w:type="dxa"/>
            <w:vAlign w:val="center"/>
          </w:tcPr>
          <w:p w:rsidR="00C13266" w:rsidRPr="00244C94" w:rsidRDefault="00C13266" w:rsidP="00307011">
            <w:pPr>
              <w:pStyle w:val="NormalWeb"/>
              <w:widowControl w:val="0"/>
              <w:spacing w:before="60" w:beforeAutospacing="0" w:after="60" w:afterAutospacing="0"/>
              <w:jc w:val="center"/>
              <w:rPr>
                <w:b/>
                <w:sz w:val="28"/>
                <w:szCs w:val="28"/>
              </w:rPr>
            </w:pPr>
            <w:r w:rsidRPr="00244C94">
              <w:rPr>
                <w:b/>
                <w:sz w:val="28"/>
                <w:szCs w:val="28"/>
              </w:rPr>
              <w:t>1</w:t>
            </w:r>
          </w:p>
        </w:tc>
        <w:tc>
          <w:tcPr>
            <w:tcW w:w="5544" w:type="dxa"/>
          </w:tcPr>
          <w:p w:rsidR="00A22B9D" w:rsidRPr="00BD3FE2" w:rsidRDefault="00A22B9D" w:rsidP="00506645">
            <w:pPr>
              <w:shd w:val="clear" w:color="auto" w:fill="FFFFFF"/>
              <w:spacing w:line="234" w:lineRule="atLeast"/>
              <w:ind w:right="0"/>
              <w:jc w:val="both"/>
              <w:rPr>
                <w:rFonts w:eastAsia="Times New Roman"/>
                <w:color w:val="000000"/>
                <w:sz w:val="28"/>
                <w:szCs w:val="28"/>
              </w:rPr>
            </w:pPr>
            <w:bookmarkStart w:id="0" w:name="dieu_1"/>
            <w:r w:rsidRPr="00BD3FE2">
              <w:rPr>
                <w:rFonts w:eastAsia="Times New Roman"/>
                <w:b/>
                <w:bCs/>
                <w:color w:val="000000"/>
                <w:sz w:val="28"/>
                <w:szCs w:val="28"/>
              </w:rPr>
              <w:t>Điều 1. Phạm vi điều chỉnh</w:t>
            </w:r>
            <w:bookmarkEnd w:id="0"/>
          </w:p>
          <w:p w:rsidR="00A22B9D" w:rsidRPr="00BD3FE2" w:rsidRDefault="00A22B9D"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1. Quyết định này quy định về đối tượng được hưởng bồi dưỡng giám định tư pháp; chế độ bồi dưỡng giám định tư pháp; nguồn kinh phí và nguyên tắc chi trả tiền bồi dưỡng giám định tư pháp.</w:t>
            </w:r>
          </w:p>
          <w:p w:rsidR="00A22B9D" w:rsidRPr="00BD3FE2" w:rsidRDefault="00A22B9D" w:rsidP="00506645">
            <w:pPr>
              <w:shd w:val="clear" w:color="auto" w:fill="FFFFFF"/>
              <w:spacing w:line="234" w:lineRule="atLeast"/>
              <w:ind w:right="0"/>
              <w:jc w:val="both"/>
              <w:rPr>
                <w:rFonts w:eastAsia="Times New Roman"/>
                <w:color w:val="000000"/>
                <w:sz w:val="28"/>
                <w:szCs w:val="28"/>
              </w:rPr>
            </w:pPr>
            <w:bookmarkStart w:id="1" w:name="khoan_2_1"/>
            <w:r w:rsidRPr="00BD3FE2">
              <w:rPr>
                <w:rFonts w:eastAsia="Times New Roman"/>
                <w:color w:val="000000"/>
                <w:sz w:val="28"/>
                <w:szCs w:val="28"/>
              </w:rPr>
              <w:t>2. Đối tượng áp dụng theo quy định của Quyết định này gồm:</w:t>
            </w:r>
            <w:bookmarkEnd w:id="1"/>
          </w:p>
          <w:p w:rsidR="00A22B9D" w:rsidRPr="00BD3FE2" w:rsidRDefault="00A22B9D"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a) Người được hưởng chế độ bồi dưỡng giám định tư pháp bao gồm:</w:t>
            </w:r>
          </w:p>
          <w:p w:rsidR="00A22B9D" w:rsidRPr="00BD3FE2" w:rsidRDefault="00A22B9D"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 xml:space="preserve">Giám định viên tư pháp, người giám định tư pháp theo vụ việc là những người hưởng lương </w:t>
            </w:r>
            <w:r w:rsidRPr="00BD3FE2">
              <w:rPr>
                <w:rFonts w:eastAsia="Times New Roman"/>
                <w:color w:val="000000"/>
                <w:sz w:val="28"/>
                <w:szCs w:val="28"/>
              </w:rPr>
              <w:lastRenderedPageBreak/>
              <w:t>từ ngân sách nhà nước thực hiện giám định tư pháp.</w:t>
            </w:r>
          </w:p>
          <w:p w:rsidR="00A22B9D" w:rsidRPr="00BD3FE2" w:rsidRDefault="00A22B9D"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Người giúp việc cho người giám định tư pháp hưởng lương từ ngân sách nhà nước, bao gồm: trợ lý, kỹ thuật viên và những người khác hỗ trợ cho người giám định tư pháp, tham gia trực tiếp vào quá trình thực hiện giám định và do thủ trưởng tổ chức được trưng cầu giám định phân công hoặc do người giám định tư pháp chịu trách nhiệm điều phối việc thực hiện giám định chỉ định; cán bộ kỹ thuật hình sự trong trường hợp tham gia khám nghiệm tử thi, mổ tử thi, khai quật tử thi.</w:t>
            </w:r>
          </w:p>
          <w:p w:rsidR="00A22B9D" w:rsidRPr="00BD3FE2" w:rsidRDefault="00A22B9D"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Điều tra viên, kiểm sát viên, thẩm phán được cơ quan nhà nước có thẩm quyền giao trách nhiệm thực hiện nhiệm vụ khi giám định đối với trường hợp khám nghiệm tử thi, mổ tử thi, khai quật tử thi.</w:t>
            </w:r>
          </w:p>
          <w:p w:rsidR="00A22B9D" w:rsidRPr="00BD3FE2" w:rsidRDefault="00A22B9D"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b) Các cơ quan, tổ chức, cá nhân khác có liên quan.</w:t>
            </w:r>
          </w:p>
          <w:p w:rsidR="00C13266" w:rsidRPr="00244C94" w:rsidRDefault="00C13266" w:rsidP="00506645">
            <w:pPr>
              <w:pStyle w:val="NormalWeb"/>
              <w:widowControl w:val="0"/>
              <w:spacing w:before="60" w:beforeAutospacing="0" w:after="60" w:afterAutospacing="0"/>
              <w:jc w:val="both"/>
              <w:rPr>
                <w:sz w:val="28"/>
                <w:szCs w:val="28"/>
                <w:shd w:val="clear" w:color="auto" w:fill="FFFFFF"/>
              </w:rPr>
            </w:pPr>
          </w:p>
        </w:tc>
        <w:tc>
          <w:tcPr>
            <w:tcW w:w="5812" w:type="dxa"/>
          </w:tcPr>
          <w:p w:rsidR="00C762B9" w:rsidRPr="00BD3FE2" w:rsidRDefault="00C762B9" w:rsidP="00506645">
            <w:pPr>
              <w:shd w:val="clear" w:color="auto" w:fill="FFFFFF"/>
              <w:spacing w:line="234" w:lineRule="atLeast"/>
              <w:ind w:right="47"/>
              <w:jc w:val="both"/>
              <w:rPr>
                <w:rFonts w:eastAsia="Times New Roman"/>
                <w:color w:val="000000"/>
                <w:sz w:val="28"/>
                <w:szCs w:val="28"/>
              </w:rPr>
            </w:pPr>
            <w:r w:rsidRPr="00BD3FE2">
              <w:rPr>
                <w:rFonts w:eastAsia="Times New Roman"/>
                <w:b/>
                <w:bCs/>
                <w:color w:val="000000"/>
                <w:sz w:val="28"/>
                <w:szCs w:val="28"/>
              </w:rPr>
              <w:lastRenderedPageBreak/>
              <w:t>Điều 1. Phạm vi điều chỉnh</w:t>
            </w:r>
          </w:p>
          <w:p w:rsidR="00C762B9" w:rsidRPr="00BD3FE2" w:rsidRDefault="00C762B9"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1. Quyết định này quy định về đối tượng được hưởng bồi dưỡng giám định tư pháp; chế độ bồi dưỡng giám định tư pháp; nguồn kinh phí và nguyên tắc chi trả tiền bồi dưỡng giám định tư pháp.</w:t>
            </w:r>
          </w:p>
          <w:p w:rsidR="00C762B9" w:rsidRPr="00BD3FE2" w:rsidRDefault="00C762B9"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2. Đối tượng áp dụng theo quy định của Quyết định này gồm:</w:t>
            </w:r>
          </w:p>
          <w:p w:rsidR="00C762B9" w:rsidRPr="00BD3FE2" w:rsidRDefault="00C762B9"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a) Người được hưởng chế độ bồi dưỡng giám định tư pháp bao gồm:</w:t>
            </w:r>
          </w:p>
          <w:p w:rsidR="00C762B9" w:rsidRPr="00BD3FE2" w:rsidRDefault="00C762B9"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lastRenderedPageBreak/>
              <w:t>Giám định viên tư pháp, người giám định tư pháp theo vụ việc là những người hưởng lương từ ngân sách nhà nước thực hiện giám định tư pháp.</w:t>
            </w:r>
          </w:p>
          <w:p w:rsidR="00C762B9" w:rsidRDefault="00C762B9"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Người giúp việc cho người giám định tư pháp hưởng lương từ ngân sách nhà nước, bao gồm: trợ lý, kỹ thuật viên và những người khác hỗ trợ cho người giám định tư pháp, tham gia trực tiếp vào quá trình thực hiện giám định và do thủ trưởng tổ chức được trưng cầu giám định phân công hoặc do người giám định tư pháp chịu trách nhiệm điều phối việc thực hiện giám định chỉ định; cán bộ kỹ thuật hình sự trong trường hợp tham gia khám nghiệm tử thi, mổ tử thi, khai quật tử thi.</w:t>
            </w:r>
          </w:p>
          <w:p w:rsidR="001B752E" w:rsidRDefault="001B752E" w:rsidP="00506645">
            <w:pPr>
              <w:shd w:val="clear" w:color="auto" w:fill="FFFFFF"/>
              <w:spacing w:before="120" w:after="120" w:line="234" w:lineRule="atLeast"/>
              <w:ind w:right="47"/>
              <w:jc w:val="both"/>
              <w:rPr>
                <w:rFonts w:eastAsia="Times New Roman"/>
                <w:color w:val="000000"/>
                <w:sz w:val="28"/>
                <w:szCs w:val="28"/>
              </w:rPr>
            </w:pPr>
          </w:p>
          <w:p w:rsidR="001B752E" w:rsidRPr="00BD3FE2" w:rsidRDefault="001B752E" w:rsidP="00506645">
            <w:pPr>
              <w:shd w:val="clear" w:color="auto" w:fill="FFFFFF"/>
              <w:spacing w:before="120" w:after="120" w:line="234" w:lineRule="atLeast"/>
              <w:ind w:right="47"/>
              <w:jc w:val="both"/>
              <w:rPr>
                <w:rFonts w:eastAsia="Times New Roman"/>
                <w:color w:val="000000"/>
                <w:sz w:val="28"/>
                <w:szCs w:val="28"/>
              </w:rPr>
            </w:pPr>
          </w:p>
          <w:p w:rsidR="00C762B9" w:rsidRPr="00BD3FE2" w:rsidRDefault="00C762B9"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Điều tra viên, kiểm sát viên, thẩm phán được cơ quan nhà nước có thẩm quyền giao trách nhiệm thực hiện nhiệm vụ khi giám định đối với trường hợp khám nghiệm tử thi, mổ tử thi, khai quật tử thi.</w:t>
            </w:r>
          </w:p>
          <w:p w:rsidR="00C762B9" w:rsidRPr="00BD3FE2" w:rsidRDefault="00C762B9"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b) Các cơ quan, tổ chức, cá nhân khác có liên quan.</w:t>
            </w:r>
          </w:p>
          <w:p w:rsidR="00C13266" w:rsidRPr="00244C94" w:rsidRDefault="00C13266" w:rsidP="00506645">
            <w:pPr>
              <w:spacing w:before="60" w:after="60"/>
              <w:ind w:right="47"/>
              <w:jc w:val="both"/>
              <w:rPr>
                <w:sz w:val="28"/>
                <w:szCs w:val="28"/>
                <w:lang w:val="vi-VN"/>
              </w:rPr>
            </w:pPr>
          </w:p>
        </w:tc>
        <w:tc>
          <w:tcPr>
            <w:tcW w:w="4050" w:type="dxa"/>
          </w:tcPr>
          <w:p w:rsidR="00C13266" w:rsidRPr="0035713B" w:rsidRDefault="00F5747A" w:rsidP="00307011">
            <w:pPr>
              <w:spacing w:before="60" w:after="60"/>
              <w:ind w:right="0"/>
              <w:jc w:val="both"/>
              <w:rPr>
                <w:bCs/>
                <w:iCs/>
                <w:sz w:val="28"/>
                <w:szCs w:val="28"/>
              </w:rPr>
            </w:pPr>
            <w:r>
              <w:rPr>
                <w:bCs/>
                <w:iCs/>
                <w:sz w:val="28"/>
                <w:szCs w:val="28"/>
              </w:rPr>
              <w:lastRenderedPageBreak/>
              <w:t>Giữ nguyên</w:t>
            </w:r>
          </w:p>
        </w:tc>
      </w:tr>
      <w:tr w:rsidR="0035713B" w:rsidRPr="00244C94" w:rsidTr="00506645">
        <w:trPr>
          <w:trHeight w:val="764"/>
        </w:trPr>
        <w:tc>
          <w:tcPr>
            <w:tcW w:w="581" w:type="dxa"/>
            <w:vAlign w:val="center"/>
          </w:tcPr>
          <w:p w:rsidR="0035713B" w:rsidRPr="00244C94" w:rsidRDefault="0035713B" w:rsidP="0035713B">
            <w:pPr>
              <w:pStyle w:val="NormalWeb"/>
              <w:widowControl w:val="0"/>
              <w:spacing w:before="60" w:beforeAutospacing="0" w:after="0" w:afterAutospacing="0"/>
              <w:jc w:val="center"/>
              <w:rPr>
                <w:b/>
                <w:sz w:val="28"/>
                <w:szCs w:val="28"/>
              </w:rPr>
            </w:pPr>
            <w:r w:rsidRPr="00244C94">
              <w:rPr>
                <w:b/>
                <w:sz w:val="28"/>
                <w:szCs w:val="28"/>
              </w:rPr>
              <w:lastRenderedPageBreak/>
              <w:t>2</w:t>
            </w:r>
          </w:p>
        </w:tc>
        <w:tc>
          <w:tcPr>
            <w:tcW w:w="5544" w:type="dxa"/>
          </w:tcPr>
          <w:p w:rsidR="0035713B" w:rsidRPr="00BD3FE2" w:rsidRDefault="0035713B" w:rsidP="00506645">
            <w:pPr>
              <w:shd w:val="clear" w:color="auto" w:fill="FFFFFF"/>
              <w:spacing w:line="234" w:lineRule="atLeast"/>
              <w:ind w:right="0"/>
              <w:jc w:val="both"/>
              <w:rPr>
                <w:rFonts w:eastAsia="Times New Roman"/>
                <w:b/>
                <w:color w:val="000000"/>
                <w:sz w:val="28"/>
                <w:szCs w:val="28"/>
              </w:rPr>
            </w:pPr>
            <w:bookmarkStart w:id="2" w:name="dieu_2"/>
            <w:r w:rsidRPr="00BD3FE2">
              <w:rPr>
                <w:rFonts w:eastAsia="Times New Roman"/>
                <w:b/>
                <w:color w:val="000000"/>
                <w:sz w:val="28"/>
                <w:szCs w:val="28"/>
              </w:rPr>
              <w:t>Điều 2. Chế độ bồi dưỡng giám định tư pháp theo ngày công</w:t>
            </w:r>
            <w:bookmarkEnd w:id="2"/>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1. Chế độ bồi dưỡng giám định tư pháp theo ngày công được áp dụng đối với việc giám định tư pháp trong các lĩnh vực: kỹ thuật hình sự; tài chính; ngân hàng; văn hóa; xây dựng; nông nghiệp và môi trường; khoa học và công nghệ; công thương; tư pháp và các lĩnh vực khác mà không thuộc quy định tại </w:t>
            </w:r>
            <w:bookmarkStart w:id="3" w:name="tc_1"/>
            <w:r w:rsidRPr="00BD3FE2">
              <w:rPr>
                <w:rFonts w:eastAsia="Times New Roman"/>
                <w:color w:val="0000FF"/>
                <w:sz w:val="28"/>
                <w:szCs w:val="28"/>
              </w:rPr>
              <w:t>Điều 3 Quyết định này</w:t>
            </w:r>
            <w:bookmarkEnd w:id="3"/>
            <w:r w:rsidRPr="00BD3FE2">
              <w:rPr>
                <w:rFonts w:eastAsia="Times New Roman"/>
                <w:color w:val="000000"/>
                <w:sz w:val="28"/>
                <w:szCs w:val="28"/>
              </w:rPr>
              <w:t>.</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2. Mức bồi dưỡng giám định tư pháp cho một người giám định chuyên trách trong các lĩnh vực giám định quy định tại khoản 1 Điều này được quy định như sau:</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a) Mức 400.000 đồng/ngày áp dụng đối với việc giám định không thuộc trường hợp quy định tại điểm b và điểm c của khoản này;</w:t>
            </w:r>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b) Mức 500.000 đồng/ngày áp dụng đối với việc giám định phức tạp về chuyên môn; hoặc phải tiếp xúc với đối tượng giám định mang nguồn bệnh truyền nhiễm nguy hiểm hoặc phải giám định trong khu vực đang có dịch bệnh truyền nhiễm nguy hiểm thuộc nhóm B quy định tại </w:t>
            </w:r>
            <w:bookmarkStart w:id="4" w:name="dc_1"/>
            <w:r w:rsidRPr="00BD3FE2">
              <w:rPr>
                <w:rFonts w:eastAsia="Times New Roman"/>
                <w:color w:val="000000"/>
                <w:sz w:val="28"/>
                <w:szCs w:val="28"/>
              </w:rPr>
              <w:t>điểm b khoản 1 Điều 3 của Luật Phòng, chống bệnh truyền nhiễm</w:t>
            </w:r>
            <w:bookmarkEnd w:id="4"/>
            <w:r w:rsidRPr="00BD3FE2">
              <w:rPr>
                <w:rFonts w:eastAsia="Times New Roman"/>
                <w:color w:val="000000"/>
                <w:sz w:val="28"/>
                <w:szCs w:val="28"/>
              </w:rPr>
              <w:t xml:space="preserve">; hoặc phải thực hiện </w:t>
            </w:r>
            <w:r w:rsidRPr="00BD3FE2">
              <w:rPr>
                <w:rFonts w:eastAsia="Times New Roman"/>
                <w:color w:val="000000"/>
                <w:sz w:val="28"/>
                <w:szCs w:val="28"/>
              </w:rPr>
              <w:lastRenderedPageBreak/>
              <w:t>giám định trong môi trường bị ô nhiễm nhưng không thuộc trường hợp quy định tại điểm c khoản này;</w:t>
            </w:r>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c) Mức 600.000 đồng/ngày áp dụng đối với việc giám định phải tiếp xúc với đối tượng giám định nhiễm HIV/AIDS, mang nguồn bệnh truyền nhiễm đặc biệt nguy hiểm hoặc phải thực hiện giám định trong khu vực đang có dịch bệnh truyền nhiễm đặc biệt nguy hiểm thuộc nhóm A quy định tại </w:t>
            </w:r>
            <w:bookmarkStart w:id="5" w:name="dc_2"/>
            <w:r w:rsidRPr="00BD3FE2">
              <w:rPr>
                <w:rFonts w:eastAsia="Times New Roman"/>
                <w:color w:val="000000"/>
                <w:sz w:val="28"/>
                <w:szCs w:val="28"/>
              </w:rPr>
              <w:t>điểm a khoản 1 Điều 3 của Luật Phòng, chống bệnh truyền nhiễm</w:t>
            </w:r>
            <w:bookmarkEnd w:id="5"/>
            <w:r w:rsidRPr="00BD3FE2">
              <w:rPr>
                <w:rFonts w:eastAsia="Times New Roman"/>
                <w:color w:val="000000"/>
                <w:sz w:val="28"/>
                <w:szCs w:val="28"/>
              </w:rPr>
              <w:t>; hoặc phải tiếp xúc với chất phóng xạ theo quy định của Bộ Khoa học và Công nghệ, hóa chất nguy hiểm theo quy định của Chính phủ hoặc cơ quan khác có thẩm quyền.</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3. Mức bồi dưỡng giám định tư pháp cho một người giám định kiêm nhiệm trong các lĩnh vực giám định quy định tại khoản 1 Điều này được quy định như sau:</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a) Mức 500.000 đồng/ngày áp dụng đối với việc giám định không thuộc trường hợp quy định tại điểm b và điểm c của khoản này;</w:t>
            </w:r>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 xml:space="preserve">b) Mức 700.000 đồng/ngày áp dụng đối với việc giám định phức tạp về chuyên môn đòi hỏi phải do người giám định tư pháp là chuyên gia thực </w:t>
            </w:r>
            <w:r w:rsidRPr="00BD3FE2">
              <w:rPr>
                <w:rFonts w:eastAsia="Times New Roman"/>
                <w:color w:val="000000"/>
                <w:sz w:val="28"/>
                <w:szCs w:val="28"/>
              </w:rPr>
              <w:lastRenderedPageBreak/>
              <w:t>hiện; hoặc phải tiếp xúc với đối tượng giám định mang nguồn bệnh truyền nhiễm nguy hiểm hoặc phải giám định trong khu vực đang có dịch bệnh truyền nhiễm nguy hiểm thuộc nhóm B quy định tại </w:t>
            </w:r>
            <w:bookmarkStart w:id="6" w:name="dc_3"/>
            <w:r w:rsidRPr="00BD3FE2">
              <w:rPr>
                <w:rFonts w:eastAsia="Times New Roman"/>
                <w:color w:val="000000"/>
                <w:sz w:val="28"/>
                <w:szCs w:val="28"/>
              </w:rPr>
              <w:t>điểm b khoản 1 Điều 3 của Luật Phòng, chống bệnh truyền nhiễm</w:t>
            </w:r>
            <w:bookmarkEnd w:id="6"/>
            <w:r w:rsidRPr="00BD3FE2">
              <w:rPr>
                <w:rFonts w:eastAsia="Times New Roman"/>
                <w:color w:val="000000"/>
                <w:sz w:val="28"/>
                <w:szCs w:val="28"/>
              </w:rPr>
              <w:t>; hoặc phải thực hiện giám định trong môi trường bị ô nhiễm nhưng không thuộc trường hợp quy định tại điểm c của khoản này;</w:t>
            </w:r>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c) Mức 1.000.000 đồng/ngày áp dụng đối với việc giám định phải tiếp xúc với đối tượng giám định trong điều kiện nguy hiểm đến sức khỏe, tính mạng; đối tượng giám định mang nguồn bệnh truyền nhiễm đặc biệt nguy hiểm hoặc phải thực hiện giám định trong khu vực đang có dịch bệnh truyền nhiễm đặc biệt nguy hiểm thuộc nhóm A quy định tại </w:t>
            </w:r>
            <w:bookmarkStart w:id="7" w:name="dc_4"/>
            <w:r w:rsidRPr="00BD3FE2">
              <w:rPr>
                <w:rFonts w:eastAsia="Times New Roman"/>
                <w:color w:val="000000"/>
                <w:sz w:val="28"/>
                <w:szCs w:val="28"/>
              </w:rPr>
              <w:t>điểm a khoản 1 Điều 3 của Luật Phòng, chống bệnh truyền nhiễm</w:t>
            </w:r>
            <w:bookmarkEnd w:id="7"/>
            <w:r w:rsidRPr="00BD3FE2">
              <w:rPr>
                <w:rFonts w:eastAsia="Times New Roman"/>
                <w:color w:val="000000"/>
                <w:sz w:val="28"/>
                <w:szCs w:val="28"/>
              </w:rPr>
              <w:t>; hoặc phải tiếp xúc với chất phóng xạ theo quy định của Bộ Khoa học và Công nghệ, hóa chất nguy hiểm theo quy định của Chính phủ hoặc cơ quan khác có thẩm quyền.</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 xml:space="preserve">4. Ngày công thực hiện giám định tư pháp được tính là 8 giờ thực hiện giám định. Số tiền bồi </w:t>
            </w:r>
            <w:r w:rsidRPr="00BD3FE2">
              <w:rPr>
                <w:rFonts w:eastAsia="Times New Roman"/>
                <w:color w:val="000000"/>
                <w:sz w:val="28"/>
                <w:szCs w:val="28"/>
              </w:rPr>
              <w:lastRenderedPageBreak/>
              <w:t>dưỡng cho một việc giám định được tính như sau:</w:t>
            </w:r>
          </w:p>
          <w:tbl>
            <w:tblPr>
              <w:tblW w:w="5000" w:type="pct"/>
              <w:tblCellSpacing w:w="0" w:type="dxa"/>
              <w:shd w:val="clear" w:color="auto" w:fill="FFFFFF"/>
              <w:tblLayout w:type="fixed"/>
              <w:tblCellMar>
                <w:left w:w="0" w:type="dxa"/>
                <w:right w:w="0" w:type="dxa"/>
              </w:tblCellMar>
              <w:tblLook w:val="04A0" w:firstRow="1" w:lastRow="0" w:firstColumn="1" w:lastColumn="0" w:noHBand="0" w:noVBand="1"/>
            </w:tblPr>
            <w:tblGrid>
              <w:gridCol w:w="1404"/>
              <w:gridCol w:w="236"/>
              <w:gridCol w:w="3688"/>
            </w:tblGrid>
            <w:tr w:rsidR="0035713B" w:rsidRPr="00BD3FE2" w:rsidTr="00307011">
              <w:trPr>
                <w:tblCellSpacing w:w="0" w:type="dxa"/>
              </w:trPr>
              <w:tc>
                <w:tcPr>
                  <w:tcW w:w="1300" w:type="pct"/>
                  <w:vMerge w:val="restart"/>
                  <w:shd w:val="clear" w:color="auto" w:fill="FFFFFF"/>
                  <w:tcMar>
                    <w:top w:w="0" w:type="dxa"/>
                    <w:left w:w="108" w:type="dxa"/>
                    <w:bottom w:w="0" w:type="dxa"/>
                    <w:right w:w="108" w:type="dxa"/>
                  </w:tcMar>
                  <w:vAlign w:val="center"/>
                  <w:hideMark/>
                </w:tcPr>
                <w:p w:rsidR="0035713B" w:rsidRPr="00BD3FE2" w:rsidRDefault="0035713B" w:rsidP="00506645">
                  <w:pPr>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Số tiền bồi dưỡng</w:t>
                  </w:r>
                </w:p>
              </w:tc>
              <w:tc>
                <w:tcPr>
                  <w:tcW w:w="200" w:type="pct"/>
                  <w:vMerge w:val="restart"/>
                  <w:shd w:val="clear" w:color="auto" w:fill="FFFFFF"/>
                  <w:tcMar>
                    <w:top w:w="0" w:type="dxa"/>
                    <w:left w:w="108" w:type="dxa"/>
                    <w:bottom w:w="0" w:type="dxa"/>
                    <w:right w:w="108" w:type="dxa"/>
                  </w:tcMar>
                  <w:vAlign w:val="center"/>
                  <w:hideMark/>
                </w:tcPr>
                <w:p w:rsidR="0035713B" w:rsidRPr="00BD3FE2" w:rsidRDefault="0035713B" w:rsidP="00506645">
                  <w:pPr>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w:t>
                  </w:r>
                </w:p>
              </w:tc>
              <w:tc>
                <w:tcPr>
                  <w:tcW w:w="3400" w:type="pct"/>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rsidR="0035713B" w:rsidRPr="00BD3FE2" w:rsidRDefault="0035713B" w:rsidP="00506645">
                  <w:pPr>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Số giờ giám định x mức bồi dưỡng một ngày công</w:t>
                  </w:r>
                </w:p>
              </w:tc>
            </w:tr>
            <w:tr w:rsidR="0035713B" w:rsidRPr="00BD3FE2" w:rsidTr="00307011">
              <w:trPr>
                <w:tblCellSpacing w:w="0" w:type="dxa"/>
              </w:trPr>
              <w:tc>
                <w:tcPr>
                  <w:tcW w:w="2393" w:type="dxa"/>
                  <w:vMerge/>
                  <w:shd w:val="clear" w:color="auto" w:fill="FFFFFF"/>
                  <w:vAlign w:val="center"/>
                  <w:hideMark/>
                </w:tcPr>
                <w:p w:rsidR="0035713B" w:rsidRPr="00BD3FE2" w:rsidRDefault="0035713B" w:rsidP="00506645">
                  <w:pPr>
                    <w:ind w:right="0"/>
                    <w:jc w:val="both"/>
                    <w:rPr>
                      <w:rFonts w:eastAsia="Times New Roman"/>
                      <w:color w:val="000000"/>
                      <w:sz w:val="28"/>
                      <w:szCs w:val="28"/>
                    </w:rPr>
                  </w:pPr>
                </w:p>
              </w:tc>
              <w:tc>
                <w:tcPr>
                  <w:tcW w:w="374" w:type="dxa"/>
                  <w:vMerge/>
                  <w:shd w:val="clear" w:color="auto" w:fill="FFFFFF"/>
                  <w:vAlign w:val="center"/>
                  <w:hideMark/>
                </w:tcPr>
                <w:p w:rsidR="0035713B" w:rsidRPr="00BD3FE2" w:rsidRDefault="0035713B" w:rsidP="00506645">
                  <w:pPr>
                    <w:ind w:right="0"/>
                    <w:jc w:val="both"/>
                    <w:rPr>
                      <w:rFonts w:eastAsia="Times New Roman"/>
                      <w:color w:val="000000"/>
                      <w:sz w:val="28"/>
                      <w:szCs w:val="28"/>
                    </w:rPr>
                  </w:pPr>
                </w:p>
              </w:tc>
              <w:tc>
                <w:tcPr>
                  <w:tcW w:w="3400" w:type="pct"/>
                  <w:shd w:val="clear" w:color="auto" w:fill="FFFFFF"/>
                  <w:tcMar>
                    <w:top w:w="0" w:type="dxa"/>
                    <w:left w:w="108" w:type="dxa"/>
                    <w:bottom w:w="0" w:type="dxa"/>
                    <w:right w:w="108" w:type="dxa"/>
                  </w:tcMar>
                  <w:vAlign w:val="center"/>
                  <w:hideMark/>
                </w:tcPr>
                <w:p w:rsidR="0035713B" w:rsidRPr="00BD3FE2" w:rsidRDefault="0035713B" w:rsidP="00506645">
                  <w:pPr>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8 giờ</w:t>
                  </w:r>
                </w:p>
              </w:tc>
            </w:tr>
          </w:tbl>
          <w:p w:rsidR="0035713B" w:rsidRPr="00BD3FE2" w:rsidRDefault="0035713B" w:rsidP="00506645">
            <w:pPr>
              <w:shd w:val="clear" w:color="auto" w:fill="FFFFFF"/>
              <w:spacing w:line="234" w:lineRule="atLeast"/>
              <w:ind w:right="0"/>
              <w:jc w:val="both"/>
              <w:rPr>
                <w:rFonts w:eastAsia="Times New Roman"/>
                <w:color w:val="000000"/>
                <w:sz w:val="28"/>
                <w:szCs w:val="28"/>
              </w:rPr>
            </w:pPr>
            <w:bookmarkStart w:id="8" w:name="cumtu_2"/>
            <w:r w:rsidRPr="00BD3FE2">
              <w:rPr>
                <w:rFonts w:eastAsia="Times New Roman"/>
                <w:color w:val="000000"/>
                <w:sz w:val="28"/>
                <w:szCs w:val="28"/>
              </w:rPr>
              <w:t>Thời gian, khối lượng công việc cần thiết cho việc thực hiện giám định theo quy trình thực hiện giám định chuẩn của từng lĩnh vực giám định do bộ, cơ quan ngang bộ quản lý về lĩnh vực giám định tư pháp quy định.</w:t>
            </w:r>
            <w:bookmarkEnd w:id="8"/>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5. Trường hợp thời gian thực hiện giám định vượt quá 8 giờ/ngày thì tổng thời gian làm giám định tăng thêm không vượt quá 300 giờ/năm.</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6. Trường hợp phải thực hiện giám định tư pháp vào ngày nghỉ hằng tuần thì mức bồi dưỡng được tính bằng 02 lần mức bồi dưỡng giám định tư pháp tương ứng quy định tại khoản 2, khoản 3 Điều này.</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Trường hợp phải thực hiện giám định tư pháp vào ngày nghỉ lễ, tết, ngày nghỉ có hưởng lương theo quy định thì mức bồi dưỡng được tính bằng 03 lần mức bồi dưỡng giám định tư pháp tương ứng quy định tại khoản 2, khoản 3 Điều này.</w:t>
            </w:r>
          </w:p>
          <w:p w:rsidR="0035713B" w:rsidRPr="00244C94" w:rsidRDefault="0035713B" w:rsidP="00506645">
            <w:pPr>
              <w:pStyle w:val="NormalWeb"/>
              <w:widowControl w:val="0"/>
              <w:spacing w:before="60" w:beforeAutospacing="0" w:after="0" w:afterAutospacing="0"/>
              <w:jc w:val="both"/>
              <w:rPr>
                <w:sz w:val="28"/>
                <w:szCs w:val="28"/>
              </w:rPr>
            </w:pPr>
          </w:p>
        </w:tc>
        <w:tc>
          <w:tcPr>
            <w:tcW w:w="5812" w:type="dxa"/>
          </w:tcPr>
          <w:p w:rsidR="0035713B" w:rsidRPr="00BD3FE2" w:rsidRDefault="0035713B" w:rsidP="00506645">
            <w:pPr>
              <w:shd w:val="clear" w:color="auto" w:fill="FFFFFF"/>
              <w:spacing w:line="234" w:lineRule="atLeast"/>
              <w:ind w:right="47"/>
              <w:jc w:val="both"/>
              <w:rPr>
                <w:rFonts w:eastAsia="Times New Roman"/>
                <w:b/>
                <w:color w:val="000000"/>
                <w:sz w:val="28"/>
                <w:szCs w:val="28"/>
              </w:rPr>
            </w:pPr>
            <w:r w:rsidRPr="00BD3FE2">
              <w:rPr>
                <w:rFonts w:eastAsia="Times New Roman"/>
                <w:b/>
                <w:color w:val="000000"/>
                <w:sz w:val="28"/>
                <w:szCs w:val="28"/>
              </w:rPr>
              <w:lastRenderedPageBreak/>
              <w:t>Điều 2. Chế độ bồi dưỡng giám định tư pháp theo ngày công</w:t>
            </w:r>
          </w:p>
          <w:p w:rsidR="0035713B" w:rsidRDefault="0035713B"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1. Chế độ bồi dưỡng giám định tư pháp theo ngày công được áp dụng đối với việc giám định tư pháp trong các lĩnh vực: kỹ thuật hình sự; tài chính; ngân hàng; văn hóa; xây dựng; nông nghiệp và môi trường; khoa học và công nghệ; công thương; tư pháp và các lĩnh vực khác mà không thuộc quy định tại Điều 3 Quyết định này.</w:t>
            </w:r>
          </w:p>
          <w:p w:rsidR="001B752E" w:rsidRPr="00BD3FE2" w:rsidRDefault="001B752E" w:rsidP="00506645">
            <w:pPr>
              <w:shd w:val="clear" w:color="auto" w:fill="FFFFFF"/>
              <w:spacing w:line="234" w:lineRule="atLeast"/>
              <w:ind w:right="47"/>
              <w:jc w:val="both"/>
              <w:rPr>
                <w:rFonts w:eastAsia="Times New Roman"/>
                <w:color w:val="000000"/>
                <w:sz w:val="28"/>
                <w:szCs w:val="28"/>
              </w:rPr>
            </w:pP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2. Mức bồi dưỡng giám định tư pháp cho một người giám định chuyên trách trong các lĩnh vực giám định quy định tại khoản 1 Điều này được quy định như sau:</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a) Mức 400.000 đồng/ngày áp dụng đối với việc giám định không thuộc trường hợp quy định tại điểm b và điểm c của khoản này;</w:t>
            </w:r>
          </w:p>
          <w:p w:rsidR="0035713B" w:rsidRPr="00BD3FE2" w:rsidRDefault="0035713B"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 xml:space="preserve">b) Mức 500.000 đồng/ngày áp dụng đối với việc giám định phức tạp về chuyên môn; hoặc phải tiếp xúc với đối tượng giám định mang nguồn bệnh truyền nhiễm nguy hiểm hoặc phải giám định trong khu vực đang có dịch bệnh truyền nhiễm nguy hiểm thuộc nhóm B quy định tại điểm b khoản 1 Điều 3 của Luật Phòng, chống bệnh truyền nhiễm; hoặc phải thực hiện giám định trong </w:t>
            </w:r>
            <w:r w:rsidRPr="00BD3FE2">
              <w:rPr>
                <w:rFonts w:eastAsia="Times New Roman"/>
                <w:color w:val="000000"/>
                <w:sz w:val="28"/>
                <w:szCs w:val="28"/>
              </w:rPr>
              <w:lastRenderedPageBreak/>
              <w:t>môi trường bị ô nhiễm nhưng không thuộc trường hợp quy định tại điểm c khoản này;</w:t>
            </w:r>
          </w:p>
          <w:p w:rsidR="0035713B" w:rsidRPr="00BD3FE2" w:rsidRDefault="0035713B"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c) Mức 600.000 đồng/ngày áp dụng đối với việc giám định phải tiếp xúc với đối tượng giám định nhiễm HIV/AIDS, mang nguồn bệnh truyền nhiễm đặc biệt nguy hiểm hoặc phải thực hiện giám định trong khu vực đang có dịch bệnh truyền nhiễm đặc biệt nguy hiểm thuộc nhóm A quy định tại điểm a khoản 1 Điều 3 của Luật Phòng, chống bệnh truyền nhiễm; hoặc phải tiếp xúc với chất phóng xạ theo quy định của Bộ Khoa học và Công nghệ, hóa chất nguy hiểm theo quy định của Chính phủ hoặc cơ quan khác có thẩm quyền.</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3. Mức bồi dưỡng giám định tư pháp cho một người giám định kiêm nhiệm trong các lĩnh vực giám định quy định tại khoản 1 Điều này được quy định như sau:</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a) Mức 500.000 đồng/ngày áp dụng đối với việc giám định không thuộc trường hợp quy định tại điểm b và điểm c của khoản này;</w:t>
            </w:r>
          </w:p>
          <w:p w:rsidR="0035713B" w:rsidRPr="00BD3FE2" w:rsidRDefault="0035713B"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 xml:space="preserve">b) Mức 700.000 đồng/ngày áp dụng đối với việc giám định phức tạp về chuyên môn đòi hỏi phải do người giám định tư pháp là chuyên gia thực hiện; hoặc phải tiếp xúc với đối tượng giám định mang nguồn bệnh truyền nhiễm nguy hiểm hoặc </w:t>
            </w:r>
            <w:r w:rsidRPr="00BD3FE2">
              <w:rPr>
                <w:rFonts w:eastAsia="Times New Roman"/>
                <w:color w:val="000000"/>
                <w:sz w:val="28"/>
                <w:szCs w:val="28"/>
              </w:rPr>
              <w:lastRenderedPageBreak/>
              <w:t>phải giám định trong khu vực đang có dịch bệnh truyền nhiễm nguy hiểm thuộc nhóm B quy định tại điểm b khoản 1 Điều 3 của Luật Phòng, chống bệnh truyền nhiễm; hoặc phải thực hiện giám định trong môi trường bị ô nhiễm nhưng không thuộc trường hợp quy định tại điểm c của khoản này;</w:t>
            </w:r>
          </w:p>
          <w:p w:rsidR="00767797" w:rsidRDefault="00767797" w:rsidP="00506645">
            <w:pPr>
              <w:shd w:val="clear" w:color="auto" w:fill="FFFFFF"/>
              <w:spacing w:line="234" w:lineRule="atLeast"/>
              <w:ind w:right="47"/>
              <w:jc w:val="both"/>
              <w:rPr>
                <w:rFonts w:eastAsia="Times New Roman"/>
                <w:color w:val="000000"/>
                <w:sz w:val="28"/>
                <w:szCs w:val="28"/>
              </w:rPr>
            </w:pPr>
          </w:p>
          <w:p w:rsidR="00767797" w:rsidRDefault="00767797" w:rsidP="00506645">
            <w:pPr>
              <w:shd w:val="clear" w:color="auto" w:fill="FFFFFF"/>
              <w:spacing w:line="234" w:lineRule="atLeast"/>
              <w:ind w:right="47"/>
              <w:jc w:val="both"/>
              <w:rPr>
                <w:rFonts w:eastAsia="Times New Roman"/>
                <w:color w:val="000000"/>
                <w:sz w:val="28"/>
                <w:szCs w:val="28"/>
              </w:rPr>
            </w:pPr>
          </w:p>
          <w:p w:rsidR="00767797" w:rsidRDefault="00767797" w:rsidP="00506645">
            <w:pPr>
              <w:shd w:val="clear" w:color="auto" w:fill="FFFFFF"/>
              <w:spacing w:line="234" w:lineRule="atLeast"/>
              <w:ind w:right="47"/>
              <w:jc w:val="both"/>
              <w:rPr>
                <w:rFonts w:eastAsia="Times New Roman"/>
                <w:color w:val="000000"/>
                <w:sz w:val="28"/>
                <w:szCs w:val="28"/>
              </w:rPr>
            </w:pPr>
          </w:p>
          <w:p w:rsidR="0035713B" w:rsidRPr="00BD3FE2" w:rsidRDefault="0035713B"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c) Mức 1.000.000 đồng/ngày áp dụng đối với việc giám định phải tiếp xúc với đối tượng giám định trong điều kiện nguy hiểm đến sức khỏe, tính mạng; đối tượng giám định mang nguồn bệnh truyền nhiễm đặc biệt nguy hiểm hoặc phải thực hiện giám định trong khu vực đang có dịch bệnh truyền nhiễm đặc biệt nguy hiểm thuộc nhóm A quy định tại điểm a khoản 1 Điều 3 của Luật Phòng, chống bệnh truyền nhiễm; hoặc phải tiếp xúc với chất phóng xạ theo quy định của Bộ Khoa học và Công nghệ, hóa chất nguy hiểm theo quy định của Chính phủ hoặc cơ quan khác có thẩm quyền.</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4. Ngày công thực hiện giám định tư pháp được tính là 8 giờ thực hiện giám định. Số tiền bồi dưỡng cho một việc giám định được tính như sau:</w:t>
            </w:r>
          </w:p>
          <w:tbl>
            <w:tblPr>
              <w:tblW w:w="5000" w:type="pct"/>
              <w:tblCellSpacing w:w="0" w:type="dxa"/>
              <w:shd w:val="clear" w:color="auto" w:fill="FFFFFF"/>
              <w:tblLayout w:type="fixed"/>
              <w:tblCellMar>
                <w:left w:w="0" w:type="dxa"/>
                <w:right w:w="0" w:type="dxa"/>
              </w:tblCellMar>
              <w:tblLook w:val="04A0" w:firstRow="1" w:lastRow="0" w:firstColumn="1" w:lastColumn="0" w:noHBand="0" w:noVBand="1"/>
            </w:tblPr>
            <w:tblGrid>
              <w:gridCol w:w="1481"/>
              <w:gridCol w:w="236"/>
              <w:gridCol w:w="3879"/>
            </w:tblGrid>
            <w:tr w:rsidR="0035713B" w:rsidRPr="00BD3FE2" w:rsidTr="00307011">
              <w:trPr>
                <w:tblCellSpacing w:w="0" w:type="dxa"/>
              </w:trPr>
              <w:tc>
                <w:tcPr>
                  <w:tcW w:w="1300" w:type="pct"/>
                  <w:vMerge w:val="restart"/>
                  <w:shd w:val="clear" w:color="auto" w:fill="FFFFFF"/>
                  <w:tcMar>
                    <w:top w:w="0" w:type="dxa"/>
                    <w:left w:w="108" w:type="dxa"/>
                    <w:bottom w:w="0" w:type="dxa"/>
                    <w:right w:w="108" w:type="dxa"/>
                  </w:tcMar>
                  <w:vAlign w:val="center"/>
                  <w:hideMark/>
                </w:tcPr>
                <w:p w:rsidR="0035713B" w:rsidRPr="00BD3FE2" w:rsidRDefault="0035713B" w:rsidP="00506645">
                  <w:pPr>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lastRenderedPageBreak/>
                    <w:t>Số tiền bồi dưỡng</w:t>
                  </w:r>
                </w:p>
              </w:tc>
              <w:tc>
                <w:tcPr>
                  <w:tcW w:w="200" w:type="pct"/>
                  <w:vMerge w:val="restart"/>
                  <w:shd w:val="clear" w:color="auto" w:fill="FFFFFF"/>
                  <w:tcMar>
                    <w:top w:w="0" w:type="dxa"/>
                    <w:left w:w="108" w:type="dxa"/>
                    <w:bottom w:w="0" w:type="dxa"/>
                    <w:right w:w="108" w:type="dxa"/>
                  </w:tcMar>
                  <w:vAlign w:val="center"/>
                  <w:hideMark/>
                </w:tcPr>
                <w:p w:rsidR="0035713B" w:rsidRPr="00BD3FE2" w:rsidRDefault="0035713B" w:rsidP="00506645">
                  <w:pPr>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w:t>
                  </w:r>
                </w:p>
              </w:tc>
              <w:tc>
                <w:tcPr>
                  <w:tcW w:w="3400" w:type="pct"/>
                  <w:tcBorders>
                    <w:top w:val="nil"/>
                    <w:left w:val="nil"/>
                    <w:bottom w:val="single" w:sz="8" w:space="0" w:color="auto"/>
                    <w:right w:val="nil"/>
                  </w:tcBorders>
                  <w:shd w:val="clear" w:color="auto" w:fill="FFFFFF"/>
                  <w:tcMar>
                    <w:top w:w="0" w:type="dxa"/>
                    <w:left w:w="108" w:type="dxa"/>
                    <w:bottom w:w="0" w:type="dxa"/>
                    <w:right w:w="108" w:type="dxa"/>
                  </w:tcMar>
                  <w:vAlign w:val="center"/>
                  <w:hideMark/>
                </w:tcPr>
                <w:p w:rsidR="0035713B" w:rsidRPr="00BD3FE2" w:rsidRDefault="0035713B" w:rsidP="00506645">
                  <w:pPr>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Số giờ giám định x mức bồi dưỡng một ngày công</w:t>
                  </w:r>
                </w:p>
              </w:tc>
            </w:tr>
            <w:tr w:rsidR="0035713B" w:rsidRPr="00BD3FE2" w:rsidTr="00307011">
              <w:trPr>
                <w:tblCellSpacing w:w="0" w:type="dxa"/>
              </w:trPr>
              <w:tc>
                <w:tcPr>
                  <w:tcW w:w="2393" w:type="dxa"/>
                  <w:vMerge/>
                  <w:shd w:val="clear" w:color="auto" w:fill="FFFFFF"/>
                  <w:vAlign w:val="center"/>
                  <w:hideMark/>
                </w:tcPr>
                <w:p w:rsidR="0035713B" w:rsidRPr="00BD3FE2" w:rsidRDefault="0035713B" w:rsidP="00506645">
                  <w:pPr>
                    <w:ind w:right="47"/>
                    <w:jc w:val="both"/>
                    <w:rPr>
                      <w:rFonts w:eastAsia="Times New Roman"/>
                      <w:color w:val="000000"/>
                      <w:sz w:val="28"/>
                      <w:szCs w:val="28"/>
                    </w:rPr>
                  </w:pPr>
                </w:p>
              </w:tc>
              <w:tc>
                <w:tcPr>
                  <w:tcW w:w="374" w:type="dxa"/>
                  <w:vMerge/>
                  <w:shd w:val="clear" w:color="auto" w:fill="FFFFFF"/>
                  <w:vAlign w:val="center"/>
                  <w:hideMark/>
                </w:tcPr>
                <w:p w:rsidR="0035713B" w:rsidRPr="00BD3FE2" w:rsidRDefault="0035713B" w:rsidP="00506645">
                  <w:pPr>
                    <w:ind w:right="47"/>
                    <w:jc w:val="both"/>
                    <w:rPr>
                      <w:rFonts w:eastAsia="Times New Roman"/>
                      <w:color w:val="000000"/>
                      <w:sz w:val="28"/>
                      <w:szCs w:val="28"/>
                    </w:rPr>
                  </w:pPr>
                </w:p>
              </w:tc>
              <w:tc>
                <w:tcPr>
                  <w:tcW w:w="3400" w:type="pct"/>
                  <w:shd w:val="clear" w:color="auto" w:fill="FFFFFF"/>
                  <w:tcMar>
                    <w:top w:w="0" w:type="dxa"/>
                    <w:left w:w="108" w:type="dxa"/>
                    <w:bottom w:w="0" w:type="dxa"/>
                    <w:right w:w="108" w:type="dxa"/>
                  </w:tcMar>
                  <w:vAlign w:val="center"/>
                  <w:hideMark/>
                </w:tcPr>
                <w:p w:rsidR="0035713B" w:rsidRPr="00BD3FE2" w:rsidRDefault="0035713B" w:rsidP="00506645">
                  <w:pPr>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8 giờ</w:t>
                  </w:r>
                </w:p>
              </w:tc>
            </w:tr>
          </w:tbl>
          <w:p w:rsidR="0035713B" w:rsidRPr="005F4F86" w:rsidRDefault="0035713B"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Thời gian, khối lượng công việc cần thiết cho việc thực hiện giám định theo quy trình thực hiện giám định chuẩn của từng lĩnh vực giám định do bộ, cơ quan ngang bộ quản lý về lĩnh vực giám định tư pháp quy định.</w:t>
            </w:r>
          </w:p>
          <w:p w:rsidR="00767797" w:rsidRPr="005F4F86" w:rsidRDefault="00767797" w:rsidP="00506645">
            <w:pPr>
              <w:shd w:val="clear" w:color="auto" w:fill="FFFFFF"/>
              <w:spacing w:line="234" w:lineRule="atLeast"/>
              <w:ind w:right="47"/>
              <w:jc w:val="both"/>
              <w:rPr>
                <w:rFonts w:eastAsia="Times New Roman"/>
                <w:color w:val="000000"/>
                <w:sz w:val="28"/>
                <w:szCs w:val="28"/>
              </w:rPr>
            </w:pPr>
          </w:p>
          <w:p w:rsidR="00767797" w:rsidRPr="00BD3FE2" w:rsidRDefault="00767797" w:rsidP="00506645">
            <w:pPr>
              <w:shd w:val="clear" w:color="auto" w:fill="FFFFFF"/>
              <w:spacing w:line="234" w:lineRule="atLeast"/>
              <w:ind w:right="47"/>
              <w:jc w:val="both"/>
              <w:rPr>
                <w:rFonts w:eastAsia="Times New Roman"/>
                <w:color w:val="000000"/>
                <w:sz w:val="28"/>
                <w:szCs w:val="28"/>
              </w:rPr>
            </w:pP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5. Trường hợp thời gian thực hiện giám định vượt quá 8 giờ/ngày thì tổng thời gian làm giám định tăng thêm không vượt quá 300 giờ/năm.</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6. Trường hợp phải thực hiện giám định tư pháp vào ngày nghỉ hằng tuần thì mức bồi dưỡng được tính bằng 02 lần mức bồi dưỡng giám định tư pháp tương ứng quy định tại khoản 2, khoản 3 Điều này.</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Trường hợp phải thực hiện giám định tư pháp vào ngày nghỉ lễ, tết, ngày nghỉ có hưởng lương theo quy định thì mức bồi dưỡng được tính bằng 03 lần mức bồi dưỡng giám định tư pháp tương ứng quy định tại khoản 2, khoản 3 Điều này.</w:t>
            </w:r>
          </w:p>
          <w:p w:rsidR="0035713B" w:rsidRPr="005F4F86" w:rsidRDefault="0035713B" w:rsidP="00506645">
            <w:pPr>
              <w:pStyle w:val="NormalWeb"/>
              <w:widowControl w:val="0"/>
              <w:spacing w:before="60" w:beforeAutospacing="0" w:after="0" w:afterAutospacing="0"/>
              <w:ind w:right="47"/>
              <w:jc w:val="both"/>
              <w:rPr>
                <w:color w:val="000000"/>
                <w:sz w:val="28"/>
                <w:szCs w:val="28"/>
              </w:rPr>
            </w:pPr>
          </w:p>
        </w:tc>
        <w:tc>
          <w:tcPr>
            <w:tcW w:w="4050" w:type="dxa"/>
          </w:tcPr>
          <w:p w:rsidR="0035713B" w:rsidRPr="00F5747A" w:rsidRDefault="00F5747A" w:rsidP="0035713B">
            <w:pPr>
              <w:spacing w:before="60"/>
              <w:ind w:right="0"/>
              <w:jc w:val="both"/>
              <w:rPr>
                <w:sz w:val="28"/>
                <w:szCs w:val="28"/>
              </w:rPr>
            </w:pPr>
            <w:r>
              <w:rPr>
                <w:sz w:val="28"/>
                <w:szCs w:val="28"/>
              </w:rPr>
              <w:lastRenderedPageBreak/>
              <w:t>Giữ nguyên</w:t>
            </w:r>
          </w:p>
        </w:tc>
      </w:tr>
      <w:tr w:rsidR="0035713B" w:rsidRPr="00244C94" w:rsidTr="00506645">
        <w:trPr>
          <w:trHeight w:val="544"/>
        </w:trPr>
        <w:tc>
          <w:tcPr>
            <w:tcW w:w="581" w:type="dxa"/>
            <w:vAlign w:val="center"/>
          </w:tcPr>
          <w:p w:rsidR="0035713B" w:rsidRPr="00244C94" w:rsidRDefault="0035713B" w:rsidP="0035713B">
            <w:pPr>
              <w:pStyle w:val="NormalWeb"/>
              <w:widowControl w:val="0"/>
              <w:spacing w:before="60" w:beforeAutospacing="0" w:after="0" w:afterAutospacing="0"/>
              <w:jc w:val="center"/>
              <w:rPr>
                <w:b/>
                <w:sz w:val="28"/>
                <w:szCs w:val="28"/>
              </w:rPr>
            </w:pPr>
            <w:r w:rsidRPr="00244C94">
              <w:rPr>
                <w:b/>
                <w:sz w:val="28"/>
                <w:szCs w:val="28"/>
              </w:rPr>
              <w:lastRenderedPageBreak/>
              <w:t>3</w:t>
            </w:r>
          </w:p>
        </w:tc>
        <w:tc>
          <w:tcPr>
            <w:tcW w:w="5544" w:type="dxa"/>
          </w:tcPr>
          <w:p w:rsidR="0035713B" w:rsidRPr="00BD3FE2" w:rsidRDefault="0035713B" w:rsidP="00506645">
            <w:pPr>
              <w:shd w:val="clear" w:color="auto" w:fill="FFFFFF"/>
              <w:spacing w:line="234" w:lineRule="atLeast"/>
              <w:ind w:right="0"/>
              <w:jc w:val="both"/>
              <w:rPr>
                <w:rFonts w:eastAsia="Times New Roman"/>
                <w:color w:val="000000"/>
                <w:sz w:val="28"/>
                <w:szCs w:val="28"/>
              </w:rPr>
            </w:pPr>
            <w:bookmarkStart w:id="9" w:name="dieu_3"/>
            <w:r w:rsidRPr="00BD3FE2">
              <w:rPr>
                <w:rFonts w:eastAsia="Times New Roman"/>
                <w:b/>
                <w:bCs/>
                <w:color w:val="000000"/>
                <w:sz w:val="28"/>
                <w:szCs w:val="28"/>
              </w:rPr>
              <w:t>Điều 3. Chế độ bồi dưỡng giám định tư pháp theo vụ việc</w:t>
            </w:r>
            <w:bookmarkEnd w:id="9"/>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1. Chế độ bồi dưỡng giám định tư pháp theo vụ việc được áp dụng đối với giám định trong lĩnh vực pháp y, pháp y tâm thần.</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2. Mức bồi dưỡng đối với người thực hiện giám định trong lĩnh vực pháp y quy định như sau:</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a) Mức bồi dưỡng cho một người thực hiện giám định trên người sống theo yêu cầu của người giám định được quy định như sau:</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400.000 đồng/nội dung yêu cầu giám định;</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500.000 đồng/nội dung yêu cầu giám định đối với trường hợp hội chẩn chuyên môn sâu là chuyên gia ở các chuyên khoa thực hiện.</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b) Mức bồi dưỡng cho một người thực hiện giám định tử thi mà không mổ tử thi và tử thi không được bảo quản theo quy định hoặc ở trạng thái thối rữa tự nhiên được quy định như sau:</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900.000 đồng/tử thi đối với người chết trong vòng 48 giờ;</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lastRenderedPageBreak/>
              <w:t>Mức 1.200.000 đồng/tử thi đối với người chết ngoài 48 giờ đến 7 ngày;</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1.500.000 đồng/tử thi đối với người chết quá 7 ngày.</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c) Mức bồi dưỡng cho một người thực hiện giám định mổ tử thi mà tử thi không được bảo quản theo quy định hoặc ở trạng thái thối rữa tự nhiên được quy định như sau:</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2.000.000 đồng/tử thi đối với người chết trong vòng 48 giờ;</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3.000.000 đồng/tử thi đối với người chết ngoài 48 giờ đến 7 ngày;</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4.500.000 đồng/tử thi đối với người chết quá 7 ngày và không phải khai quật hoặc dưới 7 ngày và phải khai quật;</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6.000.000 đồng/tử thi đối với người chết quá 7 ngày và phải khai quật.</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d) Trong trường hợp tử thi được bảo quản theo quy định của Bộ Y tế ban hành thì người giám định tư pháp được hưởng 75% mức bồi dưỡng giám định tương ứng quy định tại điểm b và điểm c khoản 2 Điều này.</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lastRenderedPageBreak/>
              <w:t>đ) Mức bồi dưỡng cho một người thực hiện giám định loại vật gây thương tích, độc chất, ADN, mô bệnh học, trên hồ sơ và các loại việc giám định khác trong lĩnh vực pháp y được quy định như sau:</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250.000 đồng/vụ việc giám định định tính ma tuý trong mẫu dịch sinh học, tóc hoặc định lượng cồn trong máu hoặc giám định đơn chất trong dịch sinh học; mức 400.000 đồng/vụ việc giám định định lượng ma tuý trong dịch sinh học, tóc.</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300.000 đồng/vụ việc giám định ADN nhân tế bào; mức 500.000 đồng/vụ việc giám định ADN ti thể.</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500.000 đồng/vụ việc giám định cơ chế, loại vật gây thương tích.</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600.000 đồng/vụ việc giám định độc chất mẫu phủ tạng, dịch sinh học.</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800.000 đồng/vụ việc giám định mô bệnh học.</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1.000.000 đồng/vụ việc giám định qua hồ sơ.</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lastRenderedPageBreak/>
              <w:t>Trường hợp vụ việc có từ 10 mẫu trở lên thì số tiền bồi dưỡng giám định được tăng thêm 20% so với mức bồi dưỡng được hưởng.</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e) Mức bồi dưỡng cho một người thực hiện giám định hài cốt được quy định như sau:</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4.000.000 đồng/hài cốt.</w:t>
            </w:r>
          </w:p>
          <w:p w:rsidR="0035713B"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g) Các trường hợp giám định phải mời chuyên gia thuộc các chuyên khoa sâu thì mức bồi dưỡng đối với một chuyên gia hội chẩn là 500.000 đồng/nội dung yêu cầu.</w:t>
            </w:r>
          </w:p>
          <w:p w:rsidR="00767797" w:rsidRPr="00BD3FE2" w:rsidRDefault="00767797" w:rsidP="00506645">
            <w:pPr>
              <w:shd w:val="clear" w:color="auto" w:fill="FFFFFF"/>
              <w:spacing w:before="120" w:after="120" w:line="234" w:lineRule="atLeast"/>
              <w:ind w:right="0"/>
              <w:jc w:val="both"/>
              <w:rPr>
                <w:rFonts w:eastAsia="Times New Roman"/>
                <w:color w:val="000000"/>
                <w:sz w:val="28"/>
                <w:szCs w:val="28"/>
              </w:rPr>
            </w:pP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3. Mức bồi dưỡng cho một người thực hiện giám định trong lĩnh vực pháp y tâm thần được quy định như sau:</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a) Giám định tại phòng khám hoặc tại chỗ</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500.000 đồng/vụ việc giám định.</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b) Giám định trên hồ sơ</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2.000.000 đồng/vụ việc giám định.</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c) Giám định nội trú</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Mức 6.000.000 đồng/vụ việc giám định.</w:t>
            </w:r>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 xml:space="preserve">4. Trong trường hợp đối tượng giám định mang nguồn bệnh truyền nhiễm đặc biệt nguy hiểm </w:t>
            </w:r>
            <w:r w:rsidRPr="00BD3FE2">
              <w:rPr>
                <w:rFonts w:eastAsia="Times New Roman"/>
                <w:color w:val="000000"/>
                <w:sz w:val="28"/>
                <w:szCs w:val="28"/>
              </w:rPr>
              <w:lastRenderedPageBreak/>
              <w:t>hoặc phải thực hiện giám định trong khu vực đang có dịch bệnh truyền nhiễm đặc biệt nguy hiểm, nguy hiểm thuộc nhóm A, nhóm B quy định tại </w:t>
            </w:r>
            <w:bookmarkStart w:id="10" w:name="dc_5"/>
            <w:r w:rsidRPr="00BD3FE2">
              <w:rPr>
                <w:rFonts w:eastAsia="Times New Roman"/>
                <w:color w:val="000000"/>
                <w:sz w:val="28"/>
                <w:szCs w:val="28"/>
              </w:rPr>
              <w:t>điểm a và điểm b khoản 1 Điều 3 của Luật Phòng, chống bệnh truyền nhiễm</w:t>
            </w:r>
            <w:bookmarkEnd w:id="10"/>
            <w:r w:rsidRPr="00BD3FE2">
              <w:rPr>
                <w:rFonts w:eastAsia="Times New Roman"/>
                <w:color w:val="000000"/>
                <w:sz w:val="28"/>
                <w:szCs w:val="28"/>
              </w:rPr>
              <w:t> thì được hưởng thêm 25% mức bồi dưỡng tương ứng quy định tại khoản 2, khoản 3 Điều này.</w:t>
            </w:r>
          </w:p>
          <w:p w:rsidR="0035713B" w:rsidRPr="00244C94" w:rsidRDefault="0035713B" w:rsidP="00506645">
            <w:pPr>
              <w:pStyle w:val="NormalWeb"/>
              <w:widowControl w:val="0"/>
              <w:spacing w:before="60" w:beforeAutospacing="0" w:after="0" w:afterAutospacing="0"/>
              <w:jc w:val="both"/>
              <w:rPr>
                <w:sz w:val="28"/>
                <w:szCs w:val="28"/>
              </w:rPr>
            </w:pPr>
          </w:p>
        </w:tc>
        <w:tc>
          <w:tcPr>
            <w:tcW w:w="5812" w:type="dxa"/>
          </w:tcPr>
          <w:p w:rsidR="0035713B" w:rsidRPr="00BD3FE2" w:rsidRDefault="0035713B" w:rsidP="00506645">
            <w:pPr>
              <w:shd w:val="clear" w:color="auto" w:fill="FFFFFF"/>
              <w:spacing w:line="234" w:lineRule="atLeast"/>
              <w:ind w:right="47"/>
              <w:jc w:val="both"/>
              <w:rPr>
                <w:rFonts w:eastAsia="Times New Roman"/>
                <w:color w:val="000000"/>
                <w:sz w:val="28"/>
                <w:szCs w:val="28"/>
              </w:rPr>
            </w:pPr>
            <w:r w:rsidRPr="00BD3FE2">
              <w:rPr>
                <w:rFonts w:eastAsia="Times New Roman"/>
                <w:b/>
                <w:bCs/>
                <w:color w:val="000000"/>
                <w:sz w:val="28"/>
                <w:szCs w:val="28"/>
              </w:rPr>
              <w:lastRenderedPageBreak/>
              <w:t>Điều 3. Chế độ bồi dưỡng giám định tư pháp theo vụ việc</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1. Chế độ bồi dưỡng giám định tư pháp theo vụ việc được áp dụng đối với giám định trong lĩnh vực pháp y, pháp y tâm thần.</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2. Mức bồi dưỡng đối với người thực hiện giám định trong lĩnh vực pháp y quy định như sau:</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a) Mức bồi dưỡng cho một người thực hiện giám định trên người sống theo yêu cầu của người giám định được quy định như sau:</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400.000 đồng/nội dung yêu cầu giám định;</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500.000 đồng/nội dung yêu cầu giám định đối với trường hợp hội chẩn chuyên môn sâu là chuyên gia ở các chuyên khoa thực hiện.</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b) Mức bồi dưỡng cho một người thực hiện giám định tử thi mà không mổ tử thi và tử thi không được bảo quản theo quy định hoặc ở trạng thái thối rữa tự nhiên được quy định như sau:</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900.000 đồng/tử thi đối với người chết trong vòng 48 giờ;</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lastRenderedPageBreak/>
              <w:t>Mức 1.200.000 đồng/tử thi đối với người chết ngoài 48 giờ đến 7 ngày;</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1.500.000 đồng/tử thi đối với người chết quá 7 ngày.</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c) Mức bồi dưỡng cho một người thực hiện giám định mổ tử thi mà tử thi không được bảo quản theo quy định hoặc ở trạng thái thối rữa tự nhiên được quy định như sau:</w:t>
            </w:r>
          </w:p>
          <w:p w:rsidR="00767797" w:rsidRDefault="00767797" w:rsidP="00506645">
            <w:pPr>
              <w:shd w:val="clear" w:color="auto" w:fill="FFFFFF"/>
              <w:spacing w:before="120" w:after="120" w:line="234" w:lineRule="atLeast"/>
              <w:ind w:right="47"/>
              <w:jc w:val="both"/>
              <w:rPr>
                <w:rFonts w:eastAsia="Times New Roman"/>
                <w:color w:val="000000"/>
                <w:sz w:val="28"/>
                <w:szCs w:val="28"/>
              </w:rPr>
            </w:pPr>
          </w:p>
          <w:p w:rsidR="00767797" w:rsidRDefault="00767797" w:rsidP="00506645">
            <w:pPr>
              <w:shd w:val="clear" w:color="auto" w:fill="FFFFFF"/>
              <w:spacing w:before="120" w:after="120" w:line="234" w:lineRule="atLeast"/>
              <w:ind w:right="47"/>
              <w:jc w:val="both"/>
              <w:rPr>
                <w:rFonts w:eastAsia="Times New Roman"/>
                <w:color w:val="000000"/>
                <w:sz w:val="28"/>
                <w:szCs w:val="28"/>
              </w:rPr>
            </w:pP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2.000.000 đồng/tử thi đối với người chết trong vòng 48 giờ;</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3.000.000 đồng/tử thi đối với người chết ngoài 48 giờ đến 7 ngày;</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4.500.000 đồng/tử thi đối với người chết quá 7 ngày và không phải khai quật hoặc dưới 7 ngày và phải khai quật;</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6.000.000 đồng/tử thi đối với người chết quá 7 ngày và phải khai quật.</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 xml:space="preserve">d) Trong trường hợp tử thi được bảo quản theo quy định của Bộ Y tế ban hành thì người giám định tư pháp được hưởng 75% mức bồi dưỡng </w:t>
            </w:r>
            <w:r w:rsidRPr="00BD3FE2">
              <w:rPr>
                <w:rFonts w:eastAsia="Times New Roman"/>
                <w:color w:val="000000"/>
                <w:sz w:val="28"/>
                <w:szCs w:val="28"/>
              </w:rPr>
              <w:lastRenderedPageBreak/>
              <w:t>giám định tương ứng quy định tại điểm b và điểm c khoản 2 Điều này.</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đ) Mức bồi dưỡng cho một người thực hiện giám định loại vật gây thương tích, độc chất, ADN, mô bệnh học, trên hồ sơ và các loại việc giám định khác trong lĩnh vực pháp y được quy định như sau:</w:t>
            </w:r>
          </w:p>
          <w:p w:rsidR="0035713B"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250.000 đồng/vụ việc giám định định tính ma tuý trong mẫu dịch sinh học, tóc hoặc định lượng cồn trong máu hoặc giám định đơn chất trong dịch sinh học; mức 400.000 đồng/vụ việc giám định định lượng ma tuý trong dịch sinh học, tóc.</w:t>
            </w:r>
          </w:p>
          <w:p w:rsidR="00767797" w:rsidRPr="00BD3FE2" w:rsidRDefault="00767797" w:rsidP="00506645">
            <w:pPr>
              <w:shd w:val="clear" w:color="auto" w:fill="FFFFFF"/>
              <w:spacing w:before="120" w:after="120" w:line="234" w:lineRule="atLeast"/>
              <w:ind w:right="47"/>
              <w:jc w:val="both"/>
              <w:rPr>
                <w:rFonts w:eastAsia="Times New Roman"/>
                <w:color w:val="000000"/>
                <w:sz w:val="28"/>
                <w:szCs w:val="28"/>
              </w:rPr>
            </w:pP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300.000 đồng/vụ việc giám định ADN nhân tế bào; mức 500.000 đồng/vụ việc giám định ADN ti thể.</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500.000 đồng/vụ việc giám định cơ chế, loại vật gây thương tích.</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600.000 đồng/vụ việc giám định độc chất mẫu phủ tạng, dịch sinh học.</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800.000 đồng/vụ việc giám định mô bệnh học.</w:t>
            </w:r>
          </w:p>
          <w:p w:rsidR="0035713B"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1.000.000 đồng/vụ việc giám định qua hồ sơ.</w:t>
            </w:r>
          </w:p>
          <w:p w:rsidR="00767797" w:rsidRPr="00BD3FE2" w:rsidRDefault="00767797" w:rsidP="00506645">
            <w:pPr>
              <w:shd w:val="clear" w:color="auto" w:fill="FFFFFF"/>
              <w:spacing w:before="120" w:after="120" w:line="234" w:lineRule="atLeast"/>
              <w:ind w:right="47"/>
              <w:jc w:val="both"/>
              <w:rPr>
                <w:rFonts w:eastAsia="Times New Roman"/>
                <w:color w:val="000000"/>
                <w:sz w:val="28"/>
                <w:szCs w:val="28"/>
              </w:rPr>
            </w:pP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Trường hợp vụ việc có từ 10 mẫu trở lên thì số tiền bồi dưỡng giám định được tăng thêm 20% so với mức bồi dưỡng được hưởng.</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e) Mức bồi dưỡng cho một người thực hiện giám định hài cốt được quy định như sau:</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4.000.000 đồng/hài cốt.</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g) Các trường hợp giám định phải mời chuyên gia thuộc các chuyên khoa sâu thì mức bồi dưỡng đối với một chuyên gia hội chẩn là 500.000 đồng/nội dung yêu cầu.</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3. Mức bồi dưỡng cho một người thực hiện giám định trong lĩnh vực pháp y tâm thần được quy định như sau:</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a) Giám định tại phòng khám hoặc tại chỗ</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500.000 đồng/vụ việc giám định.</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b) Giám định trên hồ sơ</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2.000.000 đồng/vụ việc giám định.</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c) Giám định nội trú</w:t>
            </w:r>
          </w:p>
          <w:p w:rsidR="0035713B" w:rsidRPr="00BD3FE2" w:rsidRDefault="0035713B"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Mức 6.000.000 đồng/vụ việc giám định.</w:t>
            </w:r>
          </w:p>
          <w:p w:rsidR="0035713B" w:rsidRPr="00BD3FE2" w:rsidRDefault="0035713B"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 xml:space="preserve">4. Trong trường hợp đối tượng giám định mang nguồn bệnh truyền nhiễm đặc biệt nguy hiểm hoặc </w:t>
            </w:r>
            <w:r w:rsidRPr="00BD3FE2">
              <w:rPr>
                <w:rFonts w:eastAsia="Times New Roman"/>
                <w:color w:val="000000"/>
                <w:sz w:val="28"/>
                <w:szCs w:val="28"/>
              </w:rPr>
              <w:lastRenderedPageBreak/>
              <w:t>phải thực hiện giám định trong khu vực đang có dịch bệnh truyền nhiễm đặc biệt nguy hiểm, nguy hiểm thuộc nhóm A, nhóm B quy định tại điểm a và điểm b khoản 1 Điều 3 của Luật Phòng, chống bệnh truyền nhiễm thì được hưởng thêm 25% mức bồi dưỡng tương ứng quy định tại khoản 2, khoản 3 Điều này.</w:t>
            </w:r>
          </w:p>
          <w:p w:rsidR="0035713B" w:rsidRPr="00244C94" w:rsidRDefault="0035713B" w:rsidP="00506645">
            <w:pPr>
              <w:pStyle w:val="NormalWeb"/>
              <w:widowControl w:val="0"/>
              <w:spacing w:before="60" w:beforeAutospacing="0" w:after="0" w:afterAutospacing="0"/>
              <w:ind w:right="47"/>
              <w:jc w:val="both"/>
              <w:rPr>
                <w:sz w:val="28"/>
                <w:szCs w:val="28"/>
              </w:rPr>
            </w:pPr>
          </w:p>
        </w:tc>
        <w:tc>
          <w:tcPr>
            <w:tcW w:w="4050" w:type="dxa"/>
          </w:tcPr>
          <w:p w:rsidR="0035713B" w:rsidRPr="00244C94" w:rsidRDefault="00F5747A" w:rsidP="00F5747A">
            <w:pPr>
              <w:pStyle w:val="NormalWeb"/>
              <w:widowControl w:val="0"/>
              <w:numPr>
                <w:ilvl w:val="0"/>
                <w:numId w:val="4"/>
              </w:numPr>
              <w:spacing w:before="60" w:beforeAutospacing="0" w:after="0" w:afterAutospacing="0"/>
              <w:jc w:val="both"/>
              <w:rPr>
                <w:sz w:val="28"/>
                <w:szCs w:val="28"/>
              </w:rPr>
            </w:pPr>
            <w:r>
              <w:rPr>
                <w:sz w:val="28"/>
                <w:szCs w:val="28"/>
              </w:rPr>
              <w:lastRenderedPageBreak/>
              <w:t>Giữ nguyên</w:t>
            </w:r>
          </w:p>
        </w:tc>
      </w:tr>
      <w:tr w:rsidR="0035713B" w:rsidRPr="00244C94" w:rsidTr="00506645">
        <w:trPr>
          <w:trHeight w:val="764"/>
        </w:trPr>
        <w:tc>
          <w:tcPr>
            <w:tcW w:w="581" w:type="dxa"/>
            <w:vAlign w:val="center"/>
          </w:tcPr>
          <w:p w:rsidR="0035713B" w:rsidRPr="00244C94" w:rsidRDefault="0035713B" w:rsidP="0035713B">
            <w:pPr>
              <w:pStyle w:val="NormalWeb"/>
              <w:widowControl w:val="0"/>
              <w:shd w:val="clear" w:color="auto" w:fill="FFFFFF"/>
              <w:spacing w:before="60" w:beforeAutospacing="0" w:after="0" w:afterAutospacing="0"/>
              <w:jc w:val="center"/>
              <w:rPr>
                <w:b/>
                <w:sz w:val="28"/>
                <w:szCs w:val="28"/>
              </w:rPr>
            </w:pPr>
            <w:r w:rsidRPr="00244C94">
              <w:rPr>
                <w:b/>
                <w:sz w:val="28"/>
                <w:szCs w:val="28"/>
              </w:rPr>
              <w:lastRenderedPageBreak/>
              <w:t>4</w:t>
            </w:r>
          </w:p>
        </w:tc>
        <w:tc>
          <w:tcPr>
            <w:tcW w:w="5544" w:type="dxa"/>
          </w:tcPr>
          <w:p w:rsidR="0035713B" w:rsidRPr="00BD3FE2" w:rsidRDefault="0035713B" w:rsidP="00506645">
            <w:pPr>
              <w:shd w:val="clear" w:color="auto" w:fill="FFFFFF"/>
              <w:spacing w:line="234" w:lineRule="atLeast"/>
              <w:ind w:right="0"/>
              <w:jc w:val="both"/>
              <w:rPr>
                <w:rFonts w:eastAsia="Times New Roman"/>
                <w:color w:val="000000"/>
                <w:sz w:val="28"/>
                <w:szCs w:val="28"/>
              </w:rPr>
            </w:pPr>
            <w:bookmarkStart w:id="11" w:name="dieu_4"/>
            <w:r w:rsidRPr="00BD3FE2">
              <w:rPr>
                <w:rFonts w:eastAsia="Times New Roman"/>
                <w:b/>
                <w:bCs/>
                <w:color w:val="000000"/>
                <w:sz w:val="28"/>
                <w:szCs w:val="28"/>
              </w:rPr>
              <w:t>Điều 4. Mức bồi dưỡng đối với người giúp việc cho người thực hiện giám định tư pháp; người được cơ quan nhà nước có thẩm quyền giao nhiệm vụ khi giám định đối với trường hợp khám nghiệm tử thi, mổ tử thi, khai quật tử thi</w:t>
            </w:r>
            <w:bookmarkEnd w:id="11"/>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1. Người giúp việc cho người thực hiện giám định tư pháp được quy định tại </w:t>
            </w:r>
            <w:bookmarkStart w:id="12" w:name="tc_2"/>
            <w:r w:rsidRPr="00BD3FE2">
              <w:rPr>
                <w:rFonts w:eastAsia="Times New Roman"/>
                <w:color w:val="0000FF"/>
                <w:sz w:val="28"/>
                <w:szCs w:val="28"/>
              </w:rPr>
              <w:t>điểm a khoản 2 Điều 1 Quyết định này</w:t>
            </w:r>
            <w:bookmarkEnd w:id="12"/>
            <w:r w:rsidRPr="00BD3FE2">
              <w:rPr>
                <w:rFonts w:eastAsia="Times New Roman"/>
                <w:color w:val="000000"/>
                <w:sz w:val="28"/>
                <w:szCs w:val="28"/>
              </w:rPr>
              <w:t> được hưởng bằng 70% mức bồi dưỡng mà người thực hiện giám định tư pháp được hưởng.</w:t>
            </w:r>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2. Điều tra viên, kiểm sát viên, thẩm phán được quy định tại </w:t>
            </w:r>
            <w:bookmarkStart w:id="13" w:name="tc_3"/>
            <w:r w:rsidRPr="00BD3FE2">
              <w:rPr>
                <w:rFonts w:eastAsia="Times New Roman"/>
                <w:color w:val="0000FF"/>
                <w:sz w:val="28"/>
                <w:szCs w:val="28"/>
              </w:rPr>
              <w:t>điểm a khoản 2 Điều 1 Quyết định này</w:t>
            </w:r>
            <w:bookmarkEnd w:id="13"/>
            <w:r w:rsidRPr="00BD3FE2">
              <w:rPr>
                <w:rFonts w:eastAsia="Times New Roman"/>
                <w:color w:val="000000"/>
                <w:sz w:val="28"/>
                <w:szCs w:val="28"/>
              </w:rPr>
              <w:t> được hưởng bằng 10% mức bồi dưỡng mà người thực hiện giám định tư pháp được hưởng.</w:t>
            </w:r>
          </w:p>
          <w:p w:rsidR="0035713B" w:rsidRPr="00244C94" w:rsidRDefault="0035713B" w:rsidP="00506645">
            <w:pPr>
              <w:pStyle w:val="NormalWeb"/>
              <w:widowControl w:val="0"/>
              <w:spacing w:before="60" w:beforeAutospacing="0" w:after="0" w:afterAutospacing="0"/>
              <w:jc w:val="both"/>
              <w:rPr>
                <w:sz w:val="28"/>
                <w:szCs w:val="28"/>
              </w:rPr>
            </w:pPr>
          </w:p>
        </w:tc>
        <w:tc>
          <w:tcPr>
            <w:tcW w:w="5812" w:type="dxa"/>
          </w:tcPr>
          <w:p w:rsidR="00DC6128" w:rsidRDefault="00DC6128" w:rsidP="00506645">
            <w:pPr>
              <w:shd w:val="clear" w:color="auto" w:fill="FFFFFF"/>
              <w:spacing w:line="234" w:lineRule="atLeast"/>
              <w:ind w:right="47"/>
              <w:jc w:val="both"/>
              <w:rPr>
                <w:rFonts w:eastAsia="Times New Roman"/>
                <w:b/>
                <w:bCs/>
                <w:color w:val="000000"/>
                <w:sz w:val="28"/>
                <w:szCs w:val="28"/>
              </w:rPr>
            </w:pPr>
            <w:r w:rsidRPr="00BD3FE2">
              <w:rPr>
                <w:rFonts w:eastAsia="Times New Roman"/>
                <w:b/>
                <w:bCs/>
                <w:color w:val="000000"/>
                <w:sz w:val="28"/>
                <w:szCs w:val="28"/>
              </w:rPr>
              <w:t>Điều 4. Mức bồi dưỡng đối với người giúp việc cho người thực hiện giám định tư pháp; người được cơ quan nhà nước có thẩm quyền giao nhiệm vụ khi giám định đối với trường hợp khám nghiệm tử thi, mổ tử thi, khai quật tử thi</w:t>
            </w:r>
          </w:p>
          <w:p w:rsidR="00537DB0" w:rsidRPr="00BD3FE2" w:rsidRDefault="00537DB0" w:rsidP="00506645">
            <w:pPr>
              <w:shd w:val="clear" w:color="auto" w:fill="FFFFFF"/>
              <w:spacing w:line="234" w:lineRule="atLeast"/>
              <w:ind w:right="47"/>
              <w:jc w:val="both"/>
              <w:rPr>
                <w:rFonts w:eastAsia="Times New Roman"/>
                <w:color w:val="000000"/>
                <w:sz w:val="28"/>
                <w:szCs w:val="28"/>
              </w:rPr>
            </w:pPr>
          </w:p>
          <w:p w:rsidR="00DC6128" w:rsidRPr="00BD3FE2" w:rsidRDefault="00DC6128"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1. Người giúp việc cho người thực hiện giám định tư pháp được quy định tại </w:t>
            </w:r>
            <w:r w:rsidRPr="00BD3FE2">
              <w:rPr>
                <w:rFonts w:eastAsia="Times New Roman"/>
                <w:color w:val="0000FF"/>
                <w:sz w:val="28"/>
                <w:szCs w:val="28"/>
              </w:rPr>
              <w:t>điểm a khoản 2 Điều 1 Quyết định này</w:t>
            </w:r>
            <w:r w:rsidRPr="00BD3FE2">
              <w:rPr>
                <w:rFonts w:eastAsia="Times New Roman"/>
                <w:color w:val="000000"/>
                <w:sz w:val="28"/>
                <w:szCs w:val="28"/>
              </w:rPr>
              <w:t> được hưởng bằng 70% mức bồi dưỡng mà người thực hiện giám định tư pháp được hưởng.</w:t>
            </w:r>
          </w:p>
          <w:p w:rsidR="00DC6128" w:rsidRPr="00BD3FE2" w:rsidRDefault="00DC6128" w:rsidP="00506645">
            <w:pPr>
              <w:shd w:val="clear" w:color="auto" w:fill="FFFFFF"/>
              <w:spacing w:line="234" w:lineRule="atLeast"/>
              <w:ind w:right="47"/>
              <w:jc w:val="both"/>
              <w:rPr>
                <w:rFonts w:eastAsia="Times New Roman"/>
                <w:color w:val="000000"/>
                <w:sz w:val="28"/>
                <w:szCs w:val="28"/>
              </w:rPr>
            </w:pPr>
            <w:r w:rsidRPr="00BD3FE2">
              <w:rPr>
                <w:rFonts w:eastAsia="Times New Roman"/>
                <w:color w:val="000000"/>
                <w:sz w:val="28"/>
                <w:szCs w:val="28"/>
              </w:rPr>
              <w:t>2. Điều tra viên, kiểm sát viên, thẩm phán được quy định tại </w:t>
            </w:r>
            <w:r w:rsidRPr="00BD3FE2">
              <w:rPr>
                <w:rFonts w:eastAsia="Times New Roman"/>
                <w:color w:val="0000FF"/>
                <w:sz w:val="28"/>
                <w:szCs w:val="28"/>
              </w:rPr>
              <w:t>điểm a khoản 2 Điều 1 Quyết định này</w:t>
            </w:r>
            <w:r w:rsidRPr="00BD3FE2">
              <w:rPr>
                <w:rFonts w:eastAsia="Times New Roman"/>
                <w:color w:val="000000"/>
                <w:sz w:val="28"/>
                <w:szCs w:val="28"/>
              </w:rPr>
              <w:t> được hưởng bằng 10% mức bồi dưỡng mà người thực hiện giám định tư pháp được hưởng.</w:t>
            </w:r>
          </w:p>
          <w:p w:rsidR="0035713B" w:rsidRPr="00244C94" w:rsidRDefault="0035713B" w:rsidP="00506645">
            <w:pPr>
              <w:pStyle w:val="NormalWeb"/>
              <w:widowControl w:val="0"/>
              <w:spacing w:before="60" w:beforeAutospacing="0" w:after="0" w:afterAutospacing="0"/>
              <w:ind w:right="47"/>
              <w:jc w:val="both"/>
              <w:rPr>
                <w:bCs/>
                <w:sz w:val="28"/>
                <w:szCs w:val="28"/>
              </w:rPr>
            </w:pPr>
          </w:p>
        </w:tc>
        <w:tc>
          <w:tcPr>
            <w:tcW w:w="4050" w:type="dxa"/>
          </w:tcPr>
          <w:p w:rsidR="0035713B" w:rsidRPr="00F5747A" w:rsidRDefault="00F5747A" w:rsidP="00F5747A">
            <w:pPr>
              <w:pStyle w:val="ListParagraph"/>
              <w:numPr>
                <w:ilvl w:val="0"/>
                <w:numId w:val="4"/>
              </w:numPr>
              <w:spacing w:before="60"/>
              <w:jc w:val="both"/>
              <w:rPr>
                <w:szCs w:val="28"/>
              </w:rPr>
            </w:pPr>
            <w:r w:rsidRPr="00F5747A">
              <w:rPr>
                <w:szCs w:val="28"/>
              </w:rPr>
              <w:t>Giữ nguyên</w:t>
            </w:r>
          </w:p>
        </w:tc>
      </w:tr>
      <w:tr w:rsidR="0035713B" w:rsidRPr="00244C94" w:rsidTr="00506645">
        <w:trPr>
          <w:trHeight w:val="764"/>
        </w:trPr>
        <w:tc>
          <w:tcPr>
            <w:tcW w:w="581" w:type="dxa"/>
            <w:vAlign w:val="center"/>
          </w:tcPr>
          <w:p w:rsidR="0035713B" w:rsidRPr="00244C94" w:rsidRDefault="0035713B" w:rsidP="0035713B">
            <w:pPr>
              <w:pStyle w:val="NormalWeb"/>
              <w:widowControl w:val="0"/>
              <w:shd w:val="clear" w:color="auto" w:fill="FFFFFF"/>
              <w:spacing w:before="60" w:beforeAutospacing="0" w:after="0" w:afterAutospacing="0"/>
              <w:jc w:val="center"/>
              <w:rPr>
                <w:b/>
                <w:sz w:val="28"/>
                <w:szCs w:val="28"/>
              </w:rPr>
            </w:pPr>
            <w:r>
              <w:rPr>
                <w:b/>
                <w:sz w:val="28"/>
                <w:szCs w:val="28"/>
              </w:rPr>
              <w:lastRenderedPageBreak/>
              <w:t>5</w:t>
            </w:r>
          </w:p>
        </w:tc>
        <w:tc>
          <w:tcPr>
            <w:tcW w:w="5544" w:type="dxa"/>
          </w:tcPr>
          <w:p w:rsidR="00537DB0" w:rsidRDefault="00537DB0" w:rsidP="00506645">
            <w:pPr>
              <w:shd w:val="clear" w:color="auto" w:fill="FFFFFF"/>
              <w:spacing w:line="234" w:lineRule="atLeast"/>
              <w:ind w:right="0"/>
              <w:jc w:val="both"/>
              <w:rPr>
                <w:rFonts w:eastAsia="Times New Roman"/>
                <w:b/>
                <w:bCs/>
                <w:color w:val="000000"/>
                <w:sz w:val="28"/>
                <w:szCs w:val="28"/>
              </w:rPr>
            </w:pPr>
            <w:bookmarkStart w:id="14" w:name="dieu_5"/>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b/>
                <w:bCs/>
                <w:color w:val="000000"/>
                <w:sz w:val="28"/>
                <w:szCs w:val="28"/>
              </w:rPr>
              <w:t>Điều 5. Nguồn kinh phí và nguyên tắc chi trả tiền bồi dưỡng giám định tư pháp</w:t>
            </w:r>
            <w:bookmarkEnd w:id="14"/>
          </w:p>
          <w:p w:rsidR="0035713B" w:rsidRPr="001A2F87" w:rsidRDefault="001A2F87" w:rsidP="00506645">
            <w:pPr>
              <w:shd w:val="clear" w:color="auto" w:fill="FFFFFF"/>
              <w:spacing w:before="120" w:after="120" w:line="234" w:lineRule="atLeast"/>
              <w:ind w:right="0"/>
              <w:jc w:val="both"/>
              <w:rPr>
                <w:rFonts w:eastAsia="Times New Roman"/>
                <w:color w:val="000000"/>
                <w:sz w:val="28"/>
                <w:szCs w:val="28"/>
              </w:rPr>
            </w:pPr>
            <w:r>
              <w:rPr>
                <w:rFonts w:eastAsia="Times New Roman"/>
                <w:color w:val="000000"/>
                <w:szCs w:val="28"/>
              </w:rPr>
              <w:t xml:space="preserve">1. </w:t>
            </w:r>
            <w:r w:rsidR="0035713B" w:rsidRPr="001A2F87">
              <w:rPr>
                <w:rFonts w:eastAsia="Times New Roman"/>
                <w:color w:val="000000"/>
                <w:sz w:val="28"/>
                <w:szCs w:val="28"/>
              </w:rPr>
              <w:t>Kinh phí chi trả bồi dưỡng giám định tư pháp đối với các vụ án hình sự hoặc vụ việc giám định theo trưng cầu của cơ quan tiến hành tố tụng có thẩm quyền do ngân sách nhà nước bảo đảm và được bố trí trong dự toán kinh phí hằng năm của cơ quan tiến hành tố tụng theo quy định của pháp luật về ngân sách nhà nước.</w:t>
            </w:r>
          </w:p>
          <w:p w:rsidR="00BD53EE" w:rsidRDefault="00BD53EE" w:rsidP="00506645">
            <w:pPr>
              <w:shd w:val="clear" w:color="auto" w:fill="FFFFFF"/>
              <w:spacing w:before="120" w:after="120" w:line="234" w:lineRule="atLeast"/>
              <w:ind w:right="0"/>
              <w:jc w:val="both"/>
              <w:rPr>
                <w:rFonts w:eastAsia="Times New Roman"/>
                <w:color w:val="000000"/>
                <w:szCs w:val="28"/>
              </w:rPr>
            </w:pPr>
          </w:p>
          <w:p w:rsidR="00BD53EE" w:rsidRDefault="00BD53EE" w:rsidP="00506645">
            <w:pPr>
              <w:shd w:val="clear" w:color="auto" w:fill="FFFFFF"/>
              <w:spacing w:before="120" w:after="120" w:line="234" w:lineRule="atLeast"/>
              <w:ind w:right="0"/>
              <w:jc w:val="both"/>
              <w:rPr>
                <w:rFonts w:eastAsia="Times New Roman"/>
                <w:color w:val="000000"/>
                <w:szCs w:val="28"/>
              </w:rPr>
            </w:pPr>
          </w:p>
          <w:p w:rsidR="001A2F87" w:rsidRDefault="001A2F87" w:rsidP="00506645">
            <w:pPr>
              <w:shd w:val="clear" w:color="auto" w:fill="FFFFFF"/>
              <w:spacing w:line="234" w:lineRule="atLeast"/>
              <w:ind w:right="0"/>
              <w:jc w:val="both"/>
              <w:rPr>
                <w:rFonts w:eastAsia="Times New Roman"/>
                <w:color w:val="000000"/>
                <w:sz w:val="28"/>
                <w:szCs w:val="28"/>
              </w:rPr>
            </w:pPr>
            <w:bookmarkStart w:id="15" w:name="cumtu_1"/>
          </w:p>
          <w:p w:rsidR="0035713B"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Hằng năm, cơ quan tiến hành tố tụng phải lập dự toán và đề nghị cơ quan có thẩm quyền phê duyệt và cấp phát kinh phí bảo đảm chi trả bồi dưỡng giám định tư pháp. Việc sử dụng kinh phí chi trả bồi dưỡng giám định tư pháp phải được thực hiện theo đúng quy định của pháp luật.</w:t>
            </w:r>
            <w:bookmarkEnd w:id="15"/>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p>
          <w:p w:rsidR="005320BF" w:rsidRDefault="005320BF" w:rsidP="00506645">
            <w:pPr>
              <w:shd w:val="clear" w:color="auto" w:fill="FFFFFF"/>
              <w:spacing w:line="234" w:lineRule="atLeast"/>
              <w:ind w:right="0"/>
              <w:jc w:val="both"/>
              <w:rPr>
                <w:rFonts w:eastAsia="Times New Roman"/>
                <w:color w:val="000000"/>
                <w:sz w:val="28"/>
                <w:szCs w:val="28"/>
              </w:rPr>
            </w:pPr>
            <w:bookmarkStart w:id="16" w:name="_GoBack"/>
            <w:bookmarkEnd w:id="16"/>
          </w:p>
          <w:p w:rsidR="00537DB0" w:rsidRPr="00BD3FE2" w:rsidRDefault="00537DB0" w:rsidP="00506645">
            <w:pPr>
              <w:shd w:val="clear" w:color="auto" w:fill="FFFFFF"/>
              <w:spacing w:line="234" w:lineRule="atLeast"/>
              <w:ind w:right="0"/>
              <w:jc w:val="both"/>
              <w:rPr>
                <w:rFonts w:eastAsia="Times New Roman"/>
                <w:color w:val="000000"/>
                <w:sz w:val="28"/>
                <w:szCs w:val="28"/>
              </w:rPr>
            </w:pP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2. Kinh phí chi trả bồi dưỡng giám định tư pháp đối với các vụ việc dân sự, vụ án hành chính mà do cơ quan tiến hành tố tụng trưng cầu theo yêu cầu của đương sự do đương sự chi trả theo quy định của pháp luật về tố tụng, chi phí giám định tư pháp.</w:t>
            </w:r>
          </w:p>
          <w:p w:rsidR="0035713B" w:rsidRPr="00BD3FE2" w:rsidRDefault="0035713B" w:rsidP="00506645">
            <w:pPr>
              <w:shd w:val="clear" w:color="auto" w:fill="FFFFFF"/>
              <w:spacing w:line="234" w:lineRule="atLeast"/>
              <w:ind w:right="0"/>
              <w:jc w:val="both"/>
              <w:rPr>
                <w:rFonts w:eastAsia="Times New Roman"/>
                <w:color w:val="000000"/>
                <w:sz w:val="28"/>
                <w:szCs w:val="28"/>
              </w:rPr>
            </w:pPr>
            <w:bookmarkStart w:id="17" w:name="khoan_3_5"/>
            <w:r w:rsidRPr="00BD3FE2">
              <w:rPr>
                <w:rFonts w:eastAsia="Times New Roman"/>
                <w:color w:val="000000"/>
                <w:sz w:val="28"/>
                <w:szCs w:val="28"/>
              </w:rPr>
              <w:t>3. Cơ quan trưng cầu giám định có trách nhiệm tạm ứng tiền bồi dưỡng giám định khi trưng cầu giám định và phải thanh toán tiền bồi dưỡng giám định cho tổ chức, cá nhân thực hiện giám định khi nhận kết luận giám định.</w:t>
            </w:r>
            <w:bookmarkEnd w:id="17"/>
          </w:p>
          <w:p w:rsidR="0035713B" w:rsidRPr="00244C94" w:rsidRDefault="0035713B" w:rsidP="00506645">
            <w:pPr>
              <w:pStyle w:val="NormalWeb"/>
              <w:widowControl w:val="0"/>
              <w:spacing w:before="60" w:beforeAutospacing="0" w:after="0" w:afterAutospacing="0"/>
              <w:jc w:val="both"/>
              <w:rPr>
                <w:sz w:val="28"/>
                <w:szCs w:val="28"/>
              </w:rPr>
            </w:pPr>
          </w:p>
        </w:tc>
        <w:tc>
          <w:tcPr>
            <w:tcW w:w="5812" w:type="dxa"/>
          </w:tcPr>
          <w:p w:rsidR="00DC6128" w:rsidRPr="003859B5" w:rsidRDefault="00DC6128" w:rsidP="00506645">
            <w:pPr>
              <w:pStyle w:val="ListParagraph"/>
              <w:shd w:val="clear" w:color="auto" w:fill="FFFFFF"/>
              <w:spacing w:before="120" w:after="120" w:line="234" w:lineRule="atLeast"/>
              <w:ind w:left="0" w:right="47"/>
              <w:jc w:val="both"/>
              <w:rPr>
                <w:rFonts w:eastAsia="Times New Roman" w:cs="Times New Roman"/>
                <w:color w:val="000000"/>
                <w:szCs w:val="28"/>
              </w:rPr>
            </w:pPr>
            <w:r w:rsidRPr="003859B5">
              <w:rPr>
                <w:rFonts w:eastAsia="Times New Roman" w:cs="Times New Roman"/>
                <w:b/>
                <w:bCs/>
                <w:color w:val="000000"/>
                <w:szCs w:val="28"/>
              </w:rPr>
              <w:lastRenderedPageBreak/>
              <w:t>Điều 5. Nguồn kinh phí và nguyên tắc chi trả tiền bồi dưỡng giám định tư pháp</w:t>
            </w:r>
          </w:p>
          <w:p w:rsidR="00DC6128" w:rsidRPr="00BD53EE" w:rsidRDefault="00DC6128" w:rsidP="00506645">
            <w:pPr>
              <w:shd w:val="clear" w:color="auto" w:fill="FFFFFF"/>
              <w:spacing w:before="120" w:after="120" w:line="234" w:lineRule="atLeast"/>
              <w:ind w:right="47"/>
              <w:jc w:val="both"/>
              <w:rPr>
                <w:rFonts w:eastAsia="Times New Roman"/>
                <w:b/>
                <w:color w:val="000000"/>
                <w:sz w:val="28"/>
                <w:szCs w:val="28"/>
              </w:rPr>
            </w:pPr>
            <w:r w:rsidRPr="00DC6128">
              <w:rPr>
                <w:rFonts w:eastAsia="Times New Roman"/>
                <w:color w:val="000000"/>
                <w:sz w:val="28"/>
                <w:szCs w:val="28"/>
              </w:rPr>
              <w:t xml:space="preserve">1. Kinh phí chi trả bồi dưỡng giám định tư pháp đối với các vụ việc, vụ án hình sự hoặc vụ việc giám định khác do cơ quan có thẩm quyền tố tụng trưng cầu </w:t>
            </w:r>
            <w:r w:rsidR="005320BF">
              <w:rPr>
                <w:rFonts w:eastAsia="Times New Roman"/>
                <w:color w:val="000000"/>
                <w:sz w:val="28"/>
                <w:szCs w:val="28"/>
              </w:rPr>
              <w:t>mà</w:t>
            </w:r>
            <w:r w:rsidRPr="00DC6128">
              <w:rPr>
                <w:rFonts w:eastAsia="Times New Roman"/>
                <w:color w:val="000000"/>
                <w:sz w:val="28"/>
                <w:szCs w:val="28"/>
              </w:rPr>
              <w:t xml:space="preserve"> do ngân sách nhà nước bảo đảm </w:t>
            </w:r>
            <w:r w:rsidR="005320BF">
              <w:rPr>
                <w:rFonts w:eastAsia="Times New Roman"/>
                <w:color w:val="000000"/>
                <w:sz w:val="28"/>
                <w:szCs w:val="28"/>
              </w:rPr>
              <w:t>thì</w:t>
            </w:r>
            <w:r w:rsidRPr="00DC6128">
              <w:rPr>
                <w:rFonts w:eastAsia="Times New Roman"/>
                <w:color w:val="000000"/>
                <w:sz w:val="28"/>
                <w:szCs w:val="28"/>
              </w:rPr>
              <w:t xml:space="preserve"> được bố trí trong dự toán kinh phí hằng năm của </w:t>
            </w:r>
            <w:r w:rsidRPr="00BD53EE">
              <w:rPr>
                <w:rFonts w:eastAsia="Times New Roman"/>
                <w:b/>
                <w:color w:val="000000"/>
                <w:sz w:val="28"/>
                <w:szCs w:val="28"/>
              </w:rPr>
              <w:t>cơ quan, đơn vị nhà nước được trưng cầu, thực hiện giám định</w:t>
            </w:r>
            <w:r w:rsidRPr="00DC6128">
              <w:rPr>
                <w:rFonts w:eastAsia="Times New Roman"/>
                <w:color w:val="000000"/>
                <w:sz w:val="28"/>
                <w:szCs w:val="28"/>
              </w:rPr>
              <w:t xml:space="preserve">; </w:t>
            </w:r>
            <w:r w:rsidRPr="00BD53EE">
              <w:rPr>
                <w:rFonts w:eastAsia="Times New Roman"/>
                <w:b/>
                <w:color w:val="000000"/>
                <w:sz w:val="28"/>
                <w:szCs w:val="28"/>
              </w:rPr>
              <w:t>cơ quan tiến hành tố tụng cử người thực hiện nhiệm vụ khi giám định đối với trường hợp khám nghiệm tử thi, mổ tử thi, khai quật tử thi theo quy định của pháp luật về ngân sách nhà nước.</w:t>
            </w:r>
          </w:p>
          <w:p w:rsidR="00D67692" w:rsidRDefault="00DC6128" w:rsidP="00506645">
            <w:pPr>
              <w:shd w:val="clear" w:color="auto" w:fill="FFFFFF"/>
              <w:spacing w:before="120" w:after="120" w:line="234" w:lineRule="atLeast"/>
              <w:ind w:right="47"/>
              <w:jc w:val="both"/>
              <w:rPr>
                <w:rFonts w:eastAsia="Times New Roman"/>
                <w:color w:val="000000"/>
                <w:sz w:val="28"/>
                <w:szCs w:val="28"/>
              </w:rPr>
            </w:pPr>
            <w:r w:rsidRPr="00DC6128">
              <w:rPr>
                <w:rFonts w:eastAsia="Times New Roman"/>
                <w:color w:val="000000"/>
                <w:sz w:val="28"/>
                <w:szCs w:val="28"/>
              </w:rPr>
              <w:t xml:space="preserve">Hằng năm, </w:t>
            </w:r>
            <w:r w:rsidRPr="001A2F87">
              <w:rPr>
                <w:rFonts w:eastAsia="Times New Roman"/>
                <w:b/>
                <w:color w:val="000000"/>
                <w:sz w:val="28"/>
                <w:szCs w:val="28"/>
              </w:rPr>
              <w:t>cơ quan, đơn vị nhà nước do ngân sách nhà nước bảo đảm kinh phí hoạt động mà được trưng cầu, thực hiện giám định phải lập dự toán</w:t>
            </w:r>
            <w:r w:rsidRPr="00DC6128">
              <w:rPr>
                <w:rFonts w:eastAsia="Times New Roman"/>
                <w:color w:val="000000"/>
                <w:sz w:val="28"/>
                <w:szCs w:val="28"/>
              </w:rPr>
              <w:t xml:space="preserve"> và đề nghị cơ quan có thẩm quyền phê duyệt, cấp phát kinh phí bảo đảm chi trả bồi dưỡng giám định tư pháp </w:t>
            </w:r>
            <w:r w:rsidRPr="00D67692">
              <w:rPr>
                <w:rFonts w:eastAsia="Times New Roman"/>
                <w:b/>
                <w:color w:val="000000"/>
                <w:sz w:val="28"/>
                <w:szCs w:val="28"/>
              </w:rPr>
              <w:t>cho người giám định tư pháp, người giúp việc cho người giám định tư pháp thuộc thẩm quyền quản lý của mình</w:t>
            </w:r>
            <w:r w:rsidRPr="00DC6128">
              <w:rPr>
                <w:rFonts w:eastAsia="Times New Roman"/>
                <w:color w:val="000000"/>
                <w:sz w:val="28"/>
                <w:szCs w:val="28"/>
              </w:rPr>
              <w:t xml:space="preserve">. Cơ quan tiến hành tố tụng phải lập dự toán và đề nghị cơ quan có thẩm quyền phê duyệt và cấp phát kinh phí bảo đảm chi trả bồi dưỡng giám định tư pháp </w:t>
            </w:r>
            <w:r w:rsidRPr="00D67692">
              <w:rPr>
                <w:rFonts w:eastAsia="Times New Roman"/>
                <w:b/>
                <w:color w:val="000000"/>
                <w:sz w:val="28"/>
                <w:szCs w:val="28"/>
              </w:rPr>
              <w:t xml:space="preserve">cho người của cơ quan mình được giao trách </w:t>
            </w:r>
            <w:r w:rsidRPr="00D67692">
              <w:rPr>
                <w:rFonts w:eastAsia="Times New Roman"/>
                <w:b/>
                <w:color w:val="000000"/>
                <w:sz w:val="28"/>
                <w:szCs w:val="28"/>
              </w:rPr>
              <w:lastRenderedPageBreak/>
              <w:t>nhiệm thực hiện nhiệm vụ khi giám định đối với trường hợp khám nghiệm tử thi, mổ tử thi, khai quật tử thi</w:t>
            </w:r>
            <w:r w:rsidRPr="00DC6128">
              <w:rPr>
                <w:rFonts w:eastAsia="Times New Roman"/>
                <w:color w:val="000000"/>
                <w:sz w:val="28"/>
                <w:szCs w:val="28"/>
              </w:rPr>
              <w:t xml:space="preserve">. </w:t>
            </w:r>
          </w:p>
          <w:p w:rsidR="00F574C7" w:rsidRPr="00DC6128" w:rsidRDefault="00DC6128" w:rsidP="00506645">
            <w:pPr>
              <w:shd w:val="clear" w:color="auto" w:fill="FFFFFF"/>
              <w:spacing w:before="120" w:after="120" w:line="234" w:lineRule="atLeast"/>
              <w:ind w:right="47"/>
              <w:jc w:val="both"/>
              <w:rPr>
                <w:rFonts w:eastAsia="Times New Roman"/>
                <w:color w:val="000000"/>
                <w:sz w:val="28"/>
                <w:szCs w:val="28"/>
              </w:rPr>
            </w:pPr>
            <w:r w:rsidRPr="00DC6128">
              <w:rPr>
                <w:rFonts w:eastAsia="Times New Roman"/>
                <w:color w:val="000000"/>
                <w:sz w:val="28"/>
                <w:szCs w:val="28"/>
              </w:rPr>
              <w:t>Việc sử dụng kinh phí chi trả bồi dưỡng giám định tư pháp phải được thực hiện theo đúng quy định của pháp luật.</w:t>
            </w:r>
          </w:p>
          <w:p w:rsidR="00FE5D7E" w:rsidRPr="00DC6128" w:rsidRDefault="00DC6128" w:rsidP="00506645">
            <w:pPr>
              <w:shd w:val="clear" w:color="auto" w:fill="FFFFFF"/>
              <w:spacing w:before="120" w:after="120" w:line="234" w:lineRule="atLeast"/>
              <w:ind w:right="47"/>
              <w:jc w:val="both"/>
              <w:rPr>
                <w:rFonts w:eastAsia="Times New Roman"/>
                <w:color w:val="000000"/>
                <w:sz w:val="28"/>
                <w:szCs w:val="28"/>
              </w:rPr>
            </w:pPr>
            <w:r w:rsidRPr="00DC6128">
              <w:rPr>
                <w:rFonts w:eastAsia="Times New Roman"/>
                <w:color w:val="000000"/>
                <w:sz w:val="28"/>
                <w:szCs w:val="28"/>
              </w:rPr>
              <w:t>2. Kinh phí chi trả bồi dưỡng giám định tư pháp đối với các vụ việc dân sự, vụ án hành chính mà do cơ quan tiến hành tố tụng trưng cầu theo yêu cầu của đương sự do đương sự chi trả theo quy định của pháp luật về tố tụng, chi phí giám định tư pháp.</w:t>
            </w:r>
          </w:p>
          <w:p w:rsidR="00DC6128" w:rsidRPr="00FE5D7E" w:rsidRDefault="00DC6128" w:rsidP="00506645">
            <w:pPr>
              <w:shd w:val="clear" w:color="auto" w:fill="FFFFFF"/>
              <w:spacing w:before="120" w:after="120" w:line="234" w:lineRule="atLeast"/>
              <w:ind w:right="47"/>
              <w:jc w:val="both"/>
              <w:rPr>
                <w:rFonts w:eastAsia="Times New Roman"/>
                <w:b/>
                <w:color w:val="000000"/>
                <w:sz w:val="28"/>
                <w:szCs w:val="28"/>
              </w:rPr>
            </w:pPr>
            <w:r w:rsidRPr="00DC6128">
              <w:rPr>
                <w:rFonts w:eastAsia="Times New Roman"/>
                <w:color w:val="000000"/>
                <w:sz w:val="28"/>
                <w:szCs w:val="28"/>
              </w:rPr>
              <w:t xml:space="preserve">3. </w:t>
            </w:r>
            <w:r w:rsidRPr="00FE5D7E">
              <w:rPr>
                <w:rFonts w:eastAsia="Times New Roman"/>
                <w:b/>
                <w:color w:val="000000"/>
                <w:sz w:val="28"/>
                <w:szCs w:val="28"/>
              </w:rPr>
              <w:t xml:space="preserve">Cơ quan, đơn vị nhà nước cử người thực hiện giám định tư pháp có trách nhiệm tạm ứng, thanh toán tiền bồi dưỡng giám định cho người giám định tư pháp, người giúp việc cho người giám định tư pháp khi giao nhiệm vụ giám định và khi hoàn thành việc giám định. </w:t>
            </w:r>
          </w:p>
          <w:p w:rsidR="0035713B" w:rsidRPr="00244C94" w:rsidRDefault="00DC6128" w:rsidP="00537DB0">
            <w:pPr>
              <w:shd w:val="clear" w:color="auto" w:fill="FFFFFF"/>
              <w:spacing w:before="120" w:after="120" w:line="234" w:lineRule="atLeast"/>
              <w:ind w:right="47"/>
              <w:jc w:val="both"/>
              <w:rPr>
                <w:bCs/>
                <w:sz w:val="28"/>
                <w:szCs w:val="28"/>
              </w:rPr>
            </w:pPr>
            <w:r w:rsidRPr="00FE5D7E">
              <w:rPr>
                <w:rFonts w:eastAsia="Times New Roman"/>
                <w:b/>
                <w:color w:val="000000"/>
                <w:sz w:val="28"/>
                <w:szCs w:val="28"/>
              </w:rPr>
              <w:t>Cơ quan có thẩm quyền tiến hành tố tụng có trách nhiệm tạm ứng, thanh toán tiền bồi dưỡng giám định cho người được giao nhiệm vụ trong quá trình khám nghiệm tử thi, mổ tử thi, khai quật tử thi”.</w:t>
            </w:r>
          </w:p>
        </w:tc>
        <w:tc>
          <w:tcPr>
            <w:tcW w:w="4050" w:type="dxa"/>
          </w:tcPr>
          <w:p w:rsidR="0035713B" w:rsidRPr="0055408E" w:rsidRDefault="00FE5D7E" w:rsidP="0055408E">
            <w:pPr>
              <w:pStyle w:val="ListParagraph"/>
              <w:numPr>
                <w:ilvl w:val="0"/>
                <w:numId w:val="4"/>
              </w:numPr>
              <w:spacing w:before="60"/>
              <w:jc w:val="both"/>
              <w:rPr>
                <w:szCs w:val="28"/>
              </w:rPr>
            </w:pPr>
            <w:r w:rsidRPr="0055408E">
              <w:rPr>
                <w:szCs w:val="28"/>
              </w:rPr>
              <w:lastRenderedPageBreak/>
              <w:t>Sửa đổi</w:t>
            </w:r>
            <w:r w:rsidR="00AB434A" w:rsidRPr="0055408E">
              <w:rPr>
                <w:szCs w:val="28"/>
              </w:rPr>
              <w:t xml:space="preserve"> (thay thế)</w:t>
            </w:r>
          </w:p>
        </w:tc>
      </w:tr>
      <w:tr w:rsidR="0035713B" w:rsidRPr="00244C94" w:rsidTr="00506645">
        <w:trPr>
          <w:trHeight w:val="764"/>
        </w:trPr>
        <w:tc>
          <w:tcPr>
            <w:tcW w:w="581" w:type="dxa"/>
            <w:vAlign w:val="center"/>
          </w:tcPr>
          <w:p w:rsidR="0035713B" w:rsidRPr="00244C94" w:rsidRDefault="0035713B" w:rsidP="0035713B">
            <w:pPr>
              <w:pStyle w:val="NormalWeb"/>
              <w:widowControl w:val="0"/>
              <w:shd w:val="clear" w:color="auto" w:fill="FFFFFF"/>
              <w:spacing w:before="60" w:beforeAutospacing="0" w:after="0" w:afterAutospacing="0"/>
              <w:jc w:val="center"/>
              <w:rPr>
                <w:b/>
                <w:sz w:val="28"/>
                <w:szCs w:val="28"/>
              </w:rPr>
            </w:pPr>
            <w:r>
              <w:rPr>
                <w:b/>
                <w:sz w:val="28"/>
                <w:szCs w:val="28"/>
              </w:rPr>
              <w:lastRenderedPageBreak/>
              <w:t>6</w:t>
            </w:r>
          </w:p>
        </w:tc>
        <w:tc>
          <w:tcPr>
            <w:tcW w:w="5544" w:type="dxa"/>
          </w:tcPr>
          <w:p w:rsidR="0035713B" w:rsidRPr="00BD3FE2" w:rsidRDefault="0035713B" w:rsidP="00506645">
            <w:pPr>
              <w:shd w:val="clear" w:color="auto" w:fill="FFFFFF"/>
              <w:spacing w:line="234" w:lineRule="atLeast"/>
              <w:ind w:right="0"/>
              <w:jc w:val="both"/>
              <w:rPr>
                <w:rFonts w:eastAsia="Times New Roman"/>
                <w:color w:val="000000"/>
                <w:sz w:val="28"/>
                <w:szCs w:val="28"/>
              </w:rPr>
            </w:pPr>
            <w:bookmarkStart w:id="18" w:name="dieu_6"/>
            <w:r w:rsidRPr="00BD3FE2">
              <w:rPr>
                <w:rFonts w:eastAsia="Times New Roman"/>
                <w:b/>
                <w:bCs/>
                <w:color w:val="000000"/>
                <w:sz w:val="28"/>
                <w:szCs w:val="28"/>
              </w:rPr>
              <w:t>Điều 6. Tổ chức thực hiện</w:t>
            </w:r>
            <w:bookmarkEnd w:id="18"/>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1. Bộ Tư pháp có trách nhiệm theo dõi, đôn đốc, kiểm tra việc triển khai, tổ chức thực hiện chế độ bồi dưỡng giám định tư pháp ở các bộ, ngành, cơ quan tiến hành tố tụng và địa phương; sơ kết, tổng kết và báo cáo Thủ tướng Chính phủ.</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2. Căn cứ yêu cầu thực tế và tính chất đặc thù, bộ, cơ quan ngang bộ quản lý chuyên môn lĩnh vực giám định tư pháp chủ trì, phối hợp với các bộ, ngành liên quan hướng dẫn, quy định áp dụng mức bồi dưỡng và xác định thời gian, số người làm giám định đối với từng loại việc giám định ở lĩnh vực giám định do bộ, ngành mình quản lý; tổ chức thực hiện, kiểm tra về tình hình triển khai, thực hiện chế độ bồi dưỡng giám định tư pháp ở lĩnh vực thuộc thẩm quyền quản lý của bộ, ngành mình; hằng năm, rà soát, thống kê, đánh giá tình hình thực hiện chế độ bồi dưỡng giám định tư pháp ở lĩnh vực thuộc thẩm quyền quản lý và gửi báo cáo về Bộ Tư pháp để tổng hợp, báo cáo Thủ tướng Chính phủ.</w:t>
            </w:r>
          </w:p>
          <w:p w:rsidR="0035713B" w:rsidRDefault="0035713B" w:rsidP="00506645">
            <w:pPr>
              <w:shd w:val="clear" w:color="auto" w:fill="FFFFFF"/>
              <w:spacing w:line="234" w:lineRule="atLeast"/>
              <w:ind w:right="0"/>
              <w:jc w:val="both"/>
              <w:rPr>
                <w:rFonts w:eastAsia="Times New Roman"/>
                <w:color w:val="000000"/>
                <w:sz w:val="28"/>
                <w:szCs w:val="28"/>
              </w:rPr>
            </w:pPr>
            <w:bookmarkStart w:id="19" w:name="khoan_3_6"/>
            <w:r w:rsidRPr="00BD3FE2">
              <w:rPr>
                <w:rFonts w:eastAsia="Times New Roman"/>
                <w:color w:val="000000"/>
                <w:sz w:val="28"/>
                <w:szCs w:val="28"/>
              </w:rPr>
              <w:t xml:space="preserve">3. Bộ Công an chủ trì, phối hợp với Bộ Tư pháp và các bộ, ngành khác có liên quan quy định về thành phần, số lượng người được cơ quan nhà </w:t>
            </w:r>
            <w:r w:rsidRPr="00BD3FE2">
              <w:rPr>
                <w:rFonts w:eastAsia="Times New Roman"/>
                <w:color w:val="000000"/>
                <w:sz w:val="28"/>
                <w:szCs w:val="28"/>
              </w:rPr>
              <w:lastRenderedPageBreak/>
              <w:t>nước có thẩm quyền phân công thực hiện nhiệm vụ trong thời gian thực hiện giám định đối với trường hợp khám nghiệm tử thi, mổ tử thi, khai quật tử thi quy định tại</w:t>
            </w:r>
            <w:bookmarkEnd w:id="19"/>
            <w:r w:rsidRPr="00BD3FE2">
              <w:rPr>
                <w:rFonts w:eastAsia="Times New Roman"/>
                <w:color w:val="000000"/>
                <w:sz w:val="28"/>
                <w:szCs w:val="28"/>
              </w:rPr>
              <w:t> </w:t>
            </w:r>
            <w:bookmarkStart w:id="20" w:name="tc_4"/>
            <w:r w:rsidRPr="00BD3FE2">
              <w:rPr>
                <w:rFonts w:eastAsia="Times New Roman"/>
                <w:color w:val="000000"/>
                <w:sz w:val="28"/>
                <w:szCs w:val="28"/>
              </w:rPr>
              <w:t>điểm a khoản 2 Điều 1 Quyết định này</w:t>
            </w:r>
            <w:bookmarkEnd w:id="20"/>
            <w:r w:rsidRPr="00BD3FE2">
              <w:rPr>
                <w:rFonts w:eastAsia="Times New Roman"/>
                <w:color w:val="000000"/>
                <w:sz w:val="28"/>
                <w:szCs w:val="28"/>
              </w:rPr>
              <w:t>.</w:t>
            </w:r>
          </w:p>
          <w:p w:rsidR="00E92144" w:rsidRPr="00BD3FE2" w:rsidRDefault="00E92144" w:rsidP="00506645">
            <w:pPr>
              <w:shd w:val="clear" w:color="auto" w:fill="FFFFFF"/>
              <w:spacing w:line="234" w:lineRule="atLeast"/>
              <w:ind w:right="0"/>
              <w:jc w:val="both"/>
              <w:rPr>
                <w:rFonts w:eastAsia="Times New Roman"/>
                <w:color w:val="000000"/>
                <w:sz w:val="28"/>
                <w:szCs w:val="28"/>
              </w:rPr>
            </w:pPr>
          </w:p>
          <w:p w:rsidR="0035713B" w:rsidRDefault="0035713B" w:rsidP="00506645">
            <w:pPr>
              <w:shd w:val="clear" w:color="auto" w:fill="FFFFFF"/>
              <w:spacing w:line="234" w:lineRule="atLeast"/>
              <w:ind w:right="0"/>
              <w:jc w:val="both"/>
              <w:rPr>
                <w:rFonts w:eastAsia="Times New Roman"/>
                <w:color w:val="000000"/>
                <w:sz w:val="28"/>
                <w:szCs w:val="28"/>
              </w:rPr>
            </w:pPr>
            <w:bookmarkStart w:id="21" w:name="khoan_4_6"/>
            <w:r w:rsidRPr="00BD3FE2">
              <w:rPr>
                <w:rFonts w:eastAsia="Times New Roman"/>
                <w:color w:val="000000"/>
                <w:sz w:val="28"/>
                <w:szCs w:val="28"/>
              </w:rPr>
              <w:t>4. Bộ Tài chính chủ trì, phối hợp với Bộ Công an, Bộ Tư pháp và các bộ, ngành khác có liên quan hướng dẫn về căn cứ, thủ tục lập dự toán, cấp phát, quản lý, sử dụng kinh phí chi trả tiền bồi dưỡng giám định tư pháp của các cơ quan tiến hành tố tụng; hướng dẫn về trình tự, thủ tục, hồ sơ thanh toán chế độ bồi dưỡng giám định tư pháp theo quy định của Quyết định này.</w:t>
            </w:r>
            <w:bookmarkEnd w:id="21"/>
          </w:p>
          <w:p w:rsidR="00984632" w:rsidRDefault="00984632" w:rsidP="00506645">
            <w:pPr>
              <w:shd w:val="clear" w:color="auto" w:fill="FFFFFF"/>
              <w:spacing w:line="234" w:lineRule="atLeast"/>
              <w:ind w:right="0"/>
              <w:jc w:val="both"/>
              <w:rPr>
                <w:rFonts w:eastAsia="Times New Roman"/>
                <w:color w:val="000000"/>
                <w:sz w:val="28"/>
                <w:szCs w:val="28"/>
              </w:rPr>
            </w:pPr>
          </w:p>
          <w:p w:rsidR="00984632" w:rsidRDefault="00984632" w:rsidP="00506645">
            <w:pPr>
              <w:shd w:val="clear" w:color="auto" w:fill="FFFFFF"/>
              <w:spacing w:line="234" w:lineRule="atLeast"/>
              <w:ind w:right="0"/>
              <w:jc w:val="both"/>
              <w:rPr>
                <w:rFonts w:eastAsia="Times New Roman"/>
                <w:color w:val="000000"/>
                <w:sz w:val="28"/>
                <w:szCs w:val="28"/>
              </w:rPr>
            </w:pPr>
          </w:p>
          <w:p w:rsidR="00984632" w:rsidRDefault="00984632" w:rsidP="00506645">
            <w:pPr>
              <w:shd w:val="clear" w:color="auto" w:fill="FFFFFF"/>
              <w:spacing w:line="234" w:lineRule="atLeast"/>
              <w:ind w:right="0"/>
              <w:jc w:val="both"/>
              <w:rPr>
                <w:rFonts w:eastAsia="Times New Roman"/>
                <w:color w:val="000000"/>
                <w:sz w:val="28"/>
                <w:szCs w:val="28"/>
              </w:rPr>
            </w:pPr>
          </w:p>
          <w:p w:rsidR="00984632" w:rsidRDefault="00984632" w:rsidP="00506645">
            <w:pPr>
              <w:shd w:val="clear" w:color="auto" w:fill="FFFFFF"/>
              <w:spacing w:line="234" w:lineRule="atLeast"/>
              <w:ind w:right="0"/>
              <w:jc w:val="both"/>
              <w:rPr>
                <w:rFonts w:eastAsia="Times New Roman"/>
                <w:color w:val="000000"/>
                <w:sz w:val="28"/>
                <w:szCs w:val="28"/>
              </w:rPr>
            </w:pPr>
          </w:p>
          <w:p w:rsidR="00984632" w:rsidRDefault="00984632" w:rsidP="00506645">
            <w:pPr>
              <w:shd w:val="clear" w:color="auto" w:fill="FFFFFF"/>
              <w:spacing w:line="234" w:lineRule="atLeast"/>
              <w:ind w:right="0"/>
              <w:jc w:val="both"/>
              <w:rPr>
                <w:rFonts w:eastAsia="Times New Roman"/>
                <w:color w:val="000000"/>
                <w:sz w:val="28"/>
                <w:szCs w:val="28"/>
              </w:rPr>
            </w:pPr>
          </w:p>
          <w:p w:rsidR="00984632" w:rsidRDefault="00984632" w:rsidP="00506645">
            <w:pPr>
              <w:shd w:val="clear" w:color="auto" w:fill="FFFFFF"/>
              <w:spacing w:line="234" w:lineRule="atLeast"/>
              <w:ind w:right="0"/>
              <w:jc w:val="both"/>
              <w:rPr>
                <w:rFonts w:eastAsia="Times New Roman"/>
                <w:color w:val="000000"/>
                <w:sz w:val="28"/>
                <w:szCs w:val="28"/>
              </w:rPr>
            </w:pPr>
          </w:p>
          <w:p w:rsidR="00984632" w:rsidRDefault="00984632" w:rsidP="00506645">
            <w:pPr>
              <w:shd w:val="clear" w:color="auto" w:fill="FFFFFF"/>
              <w:spacing w:line="234" w:lineRule="atLeast"/>
              <w:ind w:right="0"/>
              <w:jc w:val="both"/>
              <w:rPr>
                <w:rFonts w:eastAsia="Times New Roman"/>
                <w:color w:val="000000"/>
                <w:sz w:val="28"/>
                <w:szCs w:val="28"/>
              </w:rPr>
            </w:pPr>
          </w:p>
          <w:p w:rsidR="00984632" w:rsidRDefault="00984632" w:rsidP="00506645">
            <w:pPr>
              <w:shd w:val="clear" w:color="auto" w:fill="FFFFFF"/>
              <w:spacing w:line="234" w:lineRule="atLeast"/>
              <w:ind w:right="0"/>
              <w:jc w:val="both"/>
              <w:rPr>
                <w:rFonts w:eastAsia="Times New Roman"/>
                <w:color w:val="000000"/>
                <w:sz w:val="28"/>
                <w:szCs w:val="28"/>
              </w:rPr>
            </w:pPr>
          </w:p>
          <w:p w:rsidR="00984632" w:rsidRDefault="00984632" w:rsidP="00506645">
            <w:pPr>
              <w:shd w:val="clear" w:color="auto" w:fill="FFFFFF"/>
              <w:spacing w:line="234" w:lineRule="atLeast"/>
              <w:ind w:right="0"/>
              <w:jc w:val="both"/>
              <w:rPr>
                <w:rFonts w:eastAsia="Times New Roman"/>
                <w:color w:val="000000"/>
                <w:sz w:val="28"/>
                <w:szCs w:val="28"/>
              </w:rPr>
            </w:pPr>
          </w:p>
          <w:p w:rsidR="0035713B" w:rsidRDefault="001B752E" w:rsidP="00506645">
            <w:pPr>
              <w:shd w:val="clear" w:color="auto" w:fill="FFFFFF"/>
              <w:spacing w:before="120" w:after="120" w:line="234" w:lineRule="atLeast"/>
              <w:ind w:right="0"/>
              <w:jc w:val="both"/>
              <w:rPr>
                <w:rFonts w:eastAsia="Times New Roman"/>
                <w:color w:val="000000"/>
                <w:sz w:val="28"/>
                <w:szCs w:val="28"/>
              </w:rPr>
            </w:pPr>
            <w:r>
              <w:rPr>
                <w:rFonts w:eastAsia="Times New Roman"/>
                <w:color w:val="000000"/>
                <w:sz w:val="28"/>
                <w:szCs w:val="28"/>
              </w:rPr>
              <w:t>5</w:t>
            </w:r>
            <w:r w:rsidR="0035713B" w:rsidRPr="00BD3FE2">
              <w:rPr>
                <w:rFonts w:eastAsia="Times New Roman"/>
                <w:color w:val="000000"/>
                <w:sz w:val="28"/>
                <w:szCs w:val="28"/>
              </w:rPr>
              <w:t xml:space="preserve">. Bộ Công an, Bộ Quốc phòng và cơ quan liên quan có trách nhiệm lập dự toán, đề nghị cơ quan nhà nước có thẩm quyền phê duyệt, cấp </w:t>
            </w:r>
            <w:r w:rsidR="0035713B" w:rsidRPr="00BD3FE2">
              <w:rPr>
                <w:rFonts w:eastAsia="Times New Roman"/>
                <w:color w:val="000000"/>
                <w:sz w:val="28"/>
                <w:szCs w:val="28"/>
              </w:rPr>
              <w:lastRenderedPageBreak/>
              <w:t>phát và bảo đảm kinh phí chi trả chế độ bồi dưỡng giám định tư pháp do các cơ quan tiến hành tố tụng thuộc ngành mình trưng cầu; hằng năm, chủ trì, phối hợp với Bộ Tư pháp, Bộ Tài chính tiến hành kiểm tra việc dự toán, cấp phát kinh phí, chi trả tiền bồi dưỡng giám định tư pháp của các cơ quan tiến hành tố tụng thuộc ngành mình trưng cầu và gửi báo cáo về Bộ Tư pháp để tổng hợp, báo cáo Thủ tướng Chính phủ.</w:t>
            </w:r>
          </w:p>
          <w:p w:rsidR="001B752E" w:rsidRDefault="001B752E" w:rsidP="00506645">
            <w:pPr>
              <w:shd w:val="clear" w:color="auto" w:fill="FFFFFF"/>
              <w:spacing w:before="120" w:after="120" w:line="234" w:lineRule="atLeast"/>
              <w:ind w:right="0"/>
              <w:jc w:val="both"/>
              <w:rPr>
                <w:rFonts w:eastAsia="Times New Roman"/>
                <w:color w:val="000000"/>
                <w:sz w:val="28"/>
                <w:szCs w:val="28"/>
              </w:rPr>
            </w:pP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6. Ủy ban nhân dân các tỉnh, thành phố trực thuộc trung ương có trách nhiệm tổ chức thực hiện, kiểm tra tình hình thực hiện chế độ bồi dưỡng giám định tư pháp ở địa phương mình và hằng năm gửi báo cáo về Bộ Tư pháp để tổng hợp, báo cáo Thủ tướng Chính phủ.</w:t>
            </w:r>
          </w:p>
          <w:p w:rsidR="0035713B" w:rsidRPr="00244C94" w:rsidRDefault="0035713B" w:rsidP="00506645">
            <w:pPr>
              <w:pStyle w:val="NormalWeb"/>
              <w:widowControl w:val="0"/>
              <w:spacing w:before="60" w:beforeAutospacing="0" w:after="0" w:afterAutospacing="0"/>
              <w:jc w:val="both"/>
              <w:rPr>
                <w:sz w:val="28"/>
                <w:szCs w:val="28"/>
              </w:rPr>
            </w:pPr>
          </w:p>
        </w:tc>
        <w:tc>
          <w:tcPr>
            <w:tcW w:w="5812" w:type="dxa"/>
          </w:tcPr>
          <w:p w:rsidR="00AB434A" w:rsidRPr="00BD3FE2" w:rsidRDefault="00AB434A" w:rsidP="00506645">
            <w:pPr>
              <w:shd w:val="clear" w:color="auto" w:fill="FFFFFF"/>
              <w:spacing w:line="234" w:lineRule="atLeast"/>
              <w:ind w:right="47"/>
              <w:jc w:val="both"/>
              <w:rPr>
                <w:rFonts w:eastAsia="Times New Roman"/>
                <w:color w:val="000000"/>
                <w:sz w:val="28"/>
                <w:szCs w:val="28"/>
              </w:rPr>
            </w:pPr>
            <w:r w:rsidRPr="00BD3FE2">
              <w:rPr>
                <w:rFonts w:eastAsia="Times New Roman"/>
                <w:b/>
                <w:bCs/>
                <w:color w:val="000000"/>
                <w:sz w:val="28"/>
                <w:szCs w:val="28"/>
              </w:rPr>
              <w:lastRenderedPageBreak/>
              <w:t>Điều 6. Tổ chức thực hiện</w:t>
            </w:r>
          </w:p>
          <w:p w:rsidR="00AB434A" w:rsidRPr="00BD3FE2" w:rsidRDefault="00AB434A"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1. Bộ Tư pháp có trách nhiệm theo dõi, đôn đốc, kiểm tra việc triển khai, tổ chức thực hiện chế độ bồi dưỡng giám định tư pháp ở các bộ, ngành, cơ quan tiến hành tố tụng và địa phương; sơ kết, tổng kết và báo cáo Thủ tướng Chính phủ.</w:t>
            </w:r>
          </w:p>
          <w:p w:rsidR="00AB434A" w:rsidRPr="00BD3FE2" w:rsidRDefault="00AB434A" w:rsidP="00506645">
            <w:pPr>
              <w:shd w:val="clear" w:color="auto" w:fill="FFFFFF"/>
              <w:spacing w:before="120" w:after="120" w:line="234" w:lineRule="atLeast"/>
              <w:ind w:right="47"/>
              <w:jc w:val="both"/>
              <w:rPr>
                <w:rFonts w:eastAsia="Times New Roman"/>
                <w:color w:val="000000"/>
                <w:sz w:val="28"/>
                <w:szCs w:val="28"/>
              </w:rPr>
            </w:pPr>
            <w:r w:rsidRPr="00BD3FE2">
              <w:rPr>
                <w:rFonts w:eastAsia="Times New Roman"/>
                <w:color w:val="000000"/>
                <w:sz w:val="28"/>
                <w:szCs w:val="28"/>
              </w:rPr>
              <w:t>2. Căn cứ yêu cầu thực tế và tính chất đặc thù, bộ, cơ quan ngang bộ quản lý chuyên môn lĩnh vực giám định tư pháp chủ trì, phối hợp với các bộ, ngành liên quan hướng dẫn, quy định áp dụng mức bồi dưỡng và xác định thời gian, số người làm giám định đối với từng loại việc giám định ở lĩnh vực giám định do bộ, ngành mình quản lý; tổ chức thực hiện, kiểm tra về tình hình triển khai, thực hiện chế độ bồi dưỡng giám định tư pháp ở lĩnh vực thuộc thẩm quyền quản lý của bộ, ngành mình; hằng năm, rà soát, thống kê, đánh giá tình hình thực hiện chế độ bồi dưỡng giám định tư pháp ở lĩnh vực thuộc thẩm quyền quản lý và gửi báo cáo về Bộ Tư pháp để tổng hợp, báo cáo Thủ tướng Chính phủ.</w:t>
            </w:r>
          </w:p>
          <w:p w:rsidR="0035713B" w:rsidRPr="00E92144" w:rsidRDefault="00AB434A" w:rsidP="00506645">
            <w:pPr>
              <w:shd w:val="clear" w:color="auto" w:fill="FFFFFF"/>
              <w:spacing w:line="234" w:lineRule="atLeast"/>
              <w:ind w:right="47"/>
              <w:jc w:val="both"/>
              <w:rPr>
                <w:color w:val="000000"/>
                <w:sz w:val="28"/>
                <w:szCs w:val="28"/>
              </w:rPr>
            </w:pPr>
            <w:r w:rsidRPr="00BD3FE2">
              <w:rPr>
                <w:rFonts w:eastAsia="Times New Roman"/>
                <w:color w:val="000000"/>
                <w:sz w:val="28"/>
                <w:szCs w:val="28"/>
              </w:rPr>
              <w:t xml:space="preserve">3. Bộ Công an chủ trì, phối hợp với Bộ Tư pháp và các bộ, ngành khác có liên quan quy định về thành phần, số lượng người được cơ quan nhà nước có thẩm quyền phân công thực hiện nhiệm </w:t>
            </w:r>
            <w:r w:rsidRPr="00BD3FE2">
              <w:rPr>
                <w:rFonts w:eastAsia="Times New Roman"/>
                <w:color w:val="000000"/>
                <w:sz w:val="28"/>
                <w:szCs w:val="28"/>
              </w:rPr>
              <w:lastRenderedPageBreak/>
              <w:t>vụ trong thời gian thực hiện giám định đối với trường hợp khám nghiệm tử thi, mổ tử thi, khai quật tử thi quy định tại điểm a khoản 2 Điều 1 Quyết định này.</w:t>
            </w:r>
          </w:p>
          <w:p w:rsidR="00AB434A" w:rsidRPr="00E92144" w:rsidRDefault="00AB434A" w:rsidP="00506645">
            <w:pPr>
              <w:pStyle w:val="NormalWeb"/>
              <w:widowControl w:val="0"/>
              <w:spacing w:before="60" w:beforeAutospacing="0" w:after="0" w:afterAutospacing="0"/>
              <w:ind w:right="47"/>
              <w:jc w:val="both"/>
              <w:rPr>
                <w:color w:val="000000"/>
                <w:sz w:val="28"/>
                <w:szCs w:val="28"/>
              </w:rPr>
            </w:pPr>
          </w:p>
          <w:p w:rsidR="00984632" w:rsidRPr="00984632" w:rsidRDefault="00AB434A" w:rsidP="00984632">
            <w:pPr>
              <w:shd w:val="clear" w:color="auto" w:fill="FFFFFF"/>
              <w:spacing w:line="234" w:lineRule="atLeast"/>
              <w:ind w:right="0" w:firstLine="181"/>
              <w:jc w:val="both"/>
              <w:rPr>
                <w:rFonts w:eastAsia="Times New Roman"/>
                <w:color w:val="000000"/>
                <w:sz w:val="28"/>
                <w:szCs w:val="28"/>
              </w:rPr>
            </w:pPr>
            <w:r w:rsidRPr="00984632">
              <w:rPr>
                <w:rFonts w:eastAsia="Times New Roman"/>
                <w:color w:val="000000"/>
                <w:sz w:val="28"/>
                <w:szCs w:val="28"/>
              </w:rPr>
              <w:t>4</w:t>
            </w:r>
            <w:r w:rsidRPr="00E92144">
              <w:rPr>
                <w:rFonts w:eastAsia="Times New Roman"/>
                <w:color w:val="000000"/>
                <w:sz w:val="28"/>
                <w:szCs w:val="28"/>
              </w:rPr>
              <w:t xml:space="preserve">. </w:t>
            </w:r>
            <w:r w:rsidR="00984632" w:rsidRPr="00984632">
              <w:rPr>
                <w:rFonts w:eastAsia="Times New Roman"/>
                <w:color w:val="000000"/>
                <w:sz w:val="28"/>
                <w:szCs w:val="28"/>
              </w:rPr>
              <w:t xml:space="preserve">Bộ Tài chính chủ trì, phối hợp với Bộ Tư pháp và cơ quan có liên quan hướng dẫn về lập dự toán, cấp phát, quản lý, sử dụng kinh phí chi trả tiền bồi dưỡng giám định tư pháp của </w:t>
            </w:r>
            <w:r w:rsidR="00984632" w:rsidRPr="00984632">
              <w:rPr>
                <w:rFonts w:eastAsia="Times New Roman"/>
                <w:b/>
                <w:color w:val="000000"/>
                <w:sz w:val="28"/>
                <w:szCs w:val="28"/>
              </w:rPr>
              <w:t>các cơ quan, đơn vị nhà nước được trưng cầu và thực hiện giám định</w:t>
            </w:r>
            <w:r w:rsidR="00984632" w:rsidRPr="00984632">
              <w:rPr>
                <w:rFonts w:eastAsia="Times New Roman"/>
                <w:color w:val="000000"/>
                <w:sz w:val="28"/>
                <w:szCs w:val="28"/>
              </w:rPr>
              <w:t>, cơ quan tiến hành tố tụng theo Quyết định này; hướng dẫn về trình tự, thủ tục, hồ sơ thanh toán chế độ bồi dưỡng giám định tư pháp theo quy định của Quyết định này; dự toán, bổ sung kinh phí cho các bộ, ngành.</w:t>
            </w:r>
          </w:p>
          <w:p w:rsidR="00984632" w:rsidRPr="00984632" w:rsidRDefault="00984632" w:rsidP="00984632">
            <w:pPr>
              <w:shd w:val="clear" w:color="auto" w:fill="FFFFFF"/>
              <w:spacing w:line="234" w:lineRule="atLeast"/>
              <w:ind w:right="0" w:firstLine="181"/>
              <w:jc w:val="both"/>
              <w:rPr>
                <w:rFonts w:eastAsia="Times New Roman"/>
                <w:b/>
                <w:color w:val="000000"/>
                <w:sz w:val="28"/>
                <w:szCs w:val="28"/>
              </w:rPr>
            </w:pPr>
            <w:r w:rsidRPr="00984632">
              <w:rPr>
                <w:rFonts w:eastAsia="Times New Roman"/>
                <w:b/>
                <w:color w:val="000000"/>
                <w:sz w:val="28"/>
                <w:szCs w:val="28"/>
              </w:rPr>
              <w:t xml:space="preserve">Bộ Tài chính hướng dẫn việc dự toán bổ sung, cấp kinh phí bổ sung để chi trả tiền bồi dưỡng giám định giám định tư pháp của các bộ, ngành, địa phương và việc xử lý nguồn kinh phí đã cấp cho các cơ quan tiến hành tố tụng mà ngừng chi trả bồi dưỡng giám định tư pháp cho người làm giám định kể từ thời điểm Quyết định này có hiệu lực thi hành. </w:t>
            </w:r>
          </w:p>
          <w:p w:rsidR="00984632" w:rsidRPr="00E92144" w:rsidRDefault="00984632" w:rsidP="001B752E">
            <w:pPr>
              <w:shd w:val="clear" w:color="auto" w:fill="FFFFFF"/>
              <w:spacing w:line="234" w:lineRule="atLeast"/>
              <w:ind w:right="47" w:firstLine="34"/>
              <w:jc w:val="both"/>
              <w:rPr>
                <w:rFonts w:eastAsia="Times New Roman"/>
                <w:color w:val="000000"/>
                <w:sz w:val="28"/>
                <w:szCs w:val="28"/>
              </w:rPr>
            </w:pPr>
          </w:p>
          <w:p w:rsidR="00013EDF" w:rsidRDefault="00AB434A" w:rsidP="00506645">
            <w:pPr>
              <w:shd w:val="clear" w:color="auto" w:fill="FFFFFF"/>
              <w:spacing w:before="120" w:after="120" w:line="234" w:lineRule="atLeast"/>
              <w:ind w:right="47" w:firstLine="34"/>
              <w:jc w:val="both"/>
              <w:rPr>
                <w:rFonts w:eastAsia="Times New Roman"/>
                <w:color w:val="000000"/>
                <w:sz w:val="28"/>
                <w:szCs w:val="28"/>
              </w:rPr>
            </w:pPr>
            <w:r w:rsidRPr="00E92144">
              <w:rPr>
                <w:rFonts w:eastAsia="Times New Roman"/>
                <w:color w:val="000000"/>
                <w:sz w:val="28"/>
                <w:szCs w:val="28"/>
              </w:rPr>
              <w:t xml:space="preserve">5. </w:t>
            </w:r>
            <w:r w:rsidR="00013EDF" w:rsidRPr="00E92144">
              <w:rPr>
                <w:rFonts w:eastAsia="Times New Roman"/>
                <w:color w:val="000000"/>
                <w:sz w:val="28"/>
                <w:szCs w:val="28"/>
              </w:rPr>
              <w:t xml:space="preserve">Hằng năm, </w:t>
            </w:r>
            <w:r w:rsidR="00013EDF" w:rsidRPr="004016CD">
              <w:rPr>
                <w:rFonts w:eastAsia="Times New Roman"/>
                <w:b/>
                <w:color w:val="000000"/>
                <w:sz w:val="28"/>
                <w:szCs w:val="28"/>
              </w:rPr>
              <w:t xml:space="preserve">các bộ, cơ quan ngang bộ, cơ quan thuộc Chính phủ, Viện kiểm sát nhân dân </w:t>
            </w:r>
            <w:r w:rsidR="00013EDF" w:rsidRPr="004016CD">
              <w:rPr>
                <w:rFonts w:eastAsia="Times New Roman"/>
                <w:b/>
                <w:color w:val="000000"/>
                <w:sz w:val="28"/>
                <w:szCs w:val="28"/>
              </w:rPr>
              <w:lastRenderedPageBreak/>
              <w:t>tối cao</w:t>
            </w:r>
            <w:r w:rsidR="00013EDF" w:rsidRPr="00E92144">
              <w:rPr>
                <w:rFonts w:eastAsia="Times New Roman"/>
                <w:color w:val="000000"/>
                <w:sz w:val="28"/>
                <w:szCs w:val="28"/>
              </w:rPr>
              <w:t xml:space="preserve">, Ủy ban nhân dân các tỉnh, thành phố trực thuộc trung ương có trách nhiệm </w:t>
            </w:r>
            <w:r w:rsidR="00013EDF" w:rsidRPr="004016CD">
              <w:rPr>
                <w:rFonts w:eastAsia="Times New Roman"/>
                <w:b/>
                <w:color w:val="000000"/>
                <w:sz w:val="28"/>
                <w:szCs w:val="28"/>
              </w:rPr>
              <w:t xml:space="preserve">lập dự toán, đề nghị cơ quan nhà nước có thẩm quyền phê duyệt, cấp phát và bảo đảm kinh phí chi trả </w:t>
            </w:r>
            <w:r w:rsidR="00BE4905">
              <w:rPr>
                <w:rFonts w:eastAsia="Times New Roman"/>
                <w:b/>
                <w:color w:val="000000"/>
                <w:sz w:val="28"/>
                <w:szCs w:val="28"/>
              </w:rPr>
              <w:t xml:space="preserve">đầy đủ, kịp thời </w:t>
            </w:r>
            <w:r w:rsidR="00013EDF" w:rsidRPr="004016CD">
              <w:rPr>
                <w:rFonts w:eastAsia="Times New Roman"/>
                <w:b/>
                <w:color w:val="000000"/>
                <w:sz w:val="28"/>
                <w:szCs w:val="28"/>
              </w:rPr>
              <w:t>chế độ bồi dưỡng giám định tư pháp</w:t>
            </w:r>
            <w:r w:rsidR="00BE4905">
              <w:rPr>
                <w:rFonts w:eastAsia="Times New Roman"/>
                <w:b/>
                <w:color w:val="000000"/>
                <w:sz w:val="28"/>
                <w:szCs w:val="28"/>
              </w:rPr>
              <w:t xml:space="preserve"> trong thời hạn 15 ngày kể từ ngày hoàn thành việc giám định, phát hành bản kết luận giám định</w:t>
            </w:r>
            <w:r w:rsidR="00013EDF" w:rsidRPr="004016CD">
              <w:rPr>
                <w:rFonts w:eastAsia="Times New Roman"/>
                <w:b/>
                <w:color w:val="000000"/>
                <w:sz w:val="28"/>
                <w:szCs w:val="28"/>
              </w:rPr>
              <w:t>;</w:t>
            </w:r>
            <w:r w:rsidR="00013EDF" w:rsidRPr="00E92144">
              <w:rPr>
                <w:rFonts w:eastAsia="Times New Roman"/>
                <w:color w:val="000000"/>
                <w:sz w:val="28"/>
                <w:szCs w:val="28"/>
              </w:rPr>
              <w:t xml:space="preserve"> kiểm tra việc </w:t>
            </w:r>
            <w:r w:rsidR="00013EDF" w:rsidRPr="00A26074">
              <w:rPr>
                <w:rFonts w:eastAsia="Times New Roman"/>
                <w:b/>
                <w:color w:val="000000"/>
                <w:sz w:val="28"/>
                <w:szCs w:val="28"/>
              </w:rPr>
              <w:t>dự toán, cấp phát kinh phí, chi trả tiền bồi dưỡng giám định tư pháp cho người giám định tư pháp, người giúp việc cho người giám định tư pháp tại các cơ quan, đơn vị thuộc quản lý của bộ, ngành, địa phương mình</w:t>
            </w:r>
            <w:r w:rsidR="00013EDF" w:rsidRPr="00E92144">
              <w:rPr>
                <w:rFonts w:eastAsia="Times New Roman"/>
                <w:color w:val="000000"/>
                <w:sz w:val="28"/>
                <w:szCs w:val="28"/>
              </w:rPr>
              <w:t xml:space="preserve"> và gửi báo cáo về Bộ Tư pháp để tổng hợp, báo cáo Thủ tướng Chính phủ”.</w:t>
            </w:r>
          </w:p>
          <w:p w:rsidR="00AB434A" w:rsidRPr="00244C94" w:rsidRDefault="004016CD" w:rsidP="00984632">
            <w:pPr>
              <w:shd w:val="clear" w:color="auto" w:fill="FFFFFF"/>
              <w:spacing w:before="120" w:after="120" w:line="234" w:lineRule="atLeast"/>
              <w:ind w:right="47" w:firstLine="34"/>
              <w:jc w:val="both"/>
              <w:rPr>
                <w:bCs/>
                <w:sz w:val="28"/>
                <w:szCs w:val="28"/>
              </w:rPr>
            </w:pPr>
            <w:r>
              <w:rPr>
                <w:rFonts w:eastAsia="Times New Roman"/>
                <w:color w:val="000000"/>
                <w:sz w:val="28"/>
                <w:szCs w:val="28"/>
              </w:rPr>
              <w:t xml:space="preserve">6. Hằng năm, </w:t>
            </w:r>
            <w:r w:rsidR="00AB434A" w:rsidRPr="00E92144">
              <w:rPr>
                <w:rFonts w:eastAsia="Times New Roman"/>
                <w:color w:val="000000"/>
                <w:sz w:val="28"/>
                <w:szCs w:val="28"/>
              </w:rPr>
              <w:t xml:space="preserve">Bộ Công an, Bộ Quốc phòng, Viện kiểm sát nhân dân tối cao và cơ quan liên quan có trách nhiệm lập dự toán, đề nghị cơ quan nhà nước có thẩm quyền phê duyệt, cấp phát và bảo đảm kinh phí chi trả chế độ bồi dưỡng giám định tư pháp </w:t>
            </w:r>
            <w:r w:rsidR="00AB434A" w:rsidRPr="00A26074">
              <w:rPr>
                <w:rFonts w:eastAsia="Times New Roman"/>
                <w:b/>
                <w:color w:val="000000"/>
                <w:sz w:val="28"/>
                <w:szCs w:val="28"/>
              </w:rPr>
              <w:t>cho người có thẩm quyền tiến hành tố tụng thuộc ngành mình</w:t>
            </w:r>
            <w:r w:rsidR="00AB434A" w:rsidRPr="00E92144">
              <w:rPr>
                <w:rFonts w:eastAsia="Times New Roman"/>
                <w:color w:val="000000"/>
                <w:sz w:val="28"/>
                <w:szCs w:val="28"/>
              </w:rPr>
              <w:t xml:space="preserve">; tiến hành kiểm tra việc dự toán, cấp phát kinh phí, chi trả tiền bồi dưỡng giám định tư pháp của các cơ quan tiến hành tố tụng thuộc thẩm quyền quản lý của ngành mình và </w:t>
            </w:r>
            <w:r w:rsidR="00AB434A" w:rsidRPr="00E92144">
              <w:rPr>
                <w:rFonts w:eastAsia="Times New Roman"/>
                <w:color w:val="000000"/>
                <w:sz w:val="28"/>
                <w:szCs w:val="28"/>
              </w:rPr>
              <w:lastRenderedPageBreak/>
              <w:t>gửi báo cáo về Bộ Tư pháp để tổng hợp, báo cáo Thủ tướng Chính phủ.</w:t>
            </w:r>
          </w:p>
        </w:tc>
        <w:tc>
          <w:tcPr>
            <w:tcW w:w="4050" w:type="dxa"/>
          </w:tcPr>
          <w:p w:rsidR="0055408E" w:rsidRDefault="0055408E" w:rsidP="00A26074">
            <w:pPr>
              <w:pStyle w:val="ListParagraph"/>
              <w:spacing w:before="60"/>
              <w:jc w:val="both"/>
              <w:rPr>
                <w:szCs w:val="28"/>
              </w:rPr>
            </w:pPr>
            <w:r>
              <w:rPr>
                <w:szCs w:val="28"/>
              </w:rPr>
              <w:lastRenderedPageBreak/>
              <w:t>- Giữ nguyên khoản 1, khoản 2, khoản 3</w:t>
            </w:r>
          </w:p>
          <w:p w:rsidR="00A26074" w:rsidRDefault="0055408E" w:rsidP="00A26074">
            <w:pPr>
              <w:pStyle w:val="ListParagraph"/>
              <w:spacing w:before="60"/>
              <w:jc w:val="both"/>
              <w:rPr>
                <w:szCs w:val="28"/>
              </w:rPr>
            </w:pPr>
            <w:r>
              <w:rPr>
                <w:szCs w:val="28"/>
              </w:rPr>
              <w:t>- Sửa đổi, bổ sung khoản 4, khoản 5, khoản 6</w:t>
            </w:r>
          </w:p>
          <w:p w:rsidR="00A26074" w:rsidRDefault="00A26074" w:rsidP="00A26074">
            <w:pPr>
              <w:pStyle w:val="ListParagraph"/>
              <w:spacing w:before="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A26074" w:rsidRDefault="00A26074"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220720" w:rsidRDefault="00220720" w:rsidP="00A26074">
            <w:pPr>
              <w:spacing w:before="60"/>
              <w:ind w:left="360"/>
              <w:jc w:val="both"/>
              <w:rPr>
                <w:szCs w:val="28"/>
              </w:rPr>
            </w:pPr>
          </w:p>
          <w:p w:rsidR="0035713B" w:rsidRPr="00220720" w:rsidRDefault="00AB434A" w:rsidP="00220720">
            <w:pPr>
              <w:pStyle w:val="ListParagraph"/>
              <w:numPr>
                <w:ilvl w:val="0"/>
                <w:numId w:val="3"/>
              </w:numPr>
              <w:spacing w:before="60"/>
              <w:jc w:val="both"/>
              <w:rPr>
                <w:szCs w:val="28"/>
              </w:rPr>
            </w:pPr>
            <w:r w:rsidRPr="00220720">
              <w:rPr>
                <w:szCs w:val="28"/>
              </w:rPr>
              <w:t>Sửa đổi, bổ sung</w:t>
            </w:r>
          </w:p>
        </w:tc>
      </w:tr>
      <w:tr w:rsidR="0035713B" w:rsidRPr="00244C94" w:rsidTr="00506645">
        <w:trPr>
          <w:trHeight w:val="764"/>
        </w:trPr>
        <w:tc>
          <w:tcPr>
            <w:tcW w:w="581" w:type="dxa"/>
            <w:vAlign w:val="center"/>
          </w:tcPr>
          <w:p w:rsidR="0035713B" w:rsidRPr="00244C94" w:rsidRDefault="0035713B" w:rsidP="0035713B">
            <w:pPr>
              <w:pStyle w:val="NormalWeb"/>
              <w:widowControl w:val="0"/>
              <w:shd w:val="clear" w:color="auto" w:fill="FFFFFF"/>
              <w:spacing w:before="60" w:beforeAutospacing="0" w:after="0" w:afterAutospacing="0"/>
              <w:jc w:val="center"/>
              <w:rPr>
                <w:b/>
                <w:sz w:val="28"/>
                <w:szCs w:val="28"/>
              </w:rPr>
            </w:pPr>
            <w:r>
              <w:rPr>
                <w:b/>
                <w:sz w:val="28"/>
                <w:szCs w:val="28"/>
              </w:rPr>
              <w:lastRenderedPageBreak/>
              <w:t>7</w:t>
            </w:r>
          </w:p>
        </w:tc>
        <w:tc>
          <w:tcPr>
            <w:tcW w:w="5544" w:type="dxa"/>
          </w:tcPr>
          <w:p w:rsidR="0035713B" w:rsidRPr="00BD3FE2" w:rsidRDefault="0035713B" w:rsidP="00506645">
            <w:pPr>
              <w:shd w:val="clear" w:color="auto" w:fill="FFFFFF"/>
              <w:spacing w:line="234" w:lineRule="atLeast"/>
              <w:ind w:right="0"/>
              <w:jc w:val="both"/>
              <w:rPr>
                <w:rFonts w:eastAsia="Times New Roman"/>
                <w:color w:val="000000"/>
                <w:sz w:val="28"/>
                <w:szCs w:val="28"/>
              </w:rPr>
            </w:pPr>
            <w:bookmarkStart w:id="22" w:name="dieu_7"/>
            <w:r w:rsidRPr="00BD3FE2">
              <w:rPr>
                <w:rFonts w:eastAsia="Times New Roman"/>
                <w:b/>
                <w:bCs/>
                <w:color w:val="000000"/>
                <w:sz w:val="28"/>
                <w:szCs w:val="28"/>
              </w:rPr>
              <w:t>Điều 7. Điều khoản chuyển tiếp</w:t>
            </w:r>
            <w:bookmarkEnd w:id="22"/>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1. Trường hợp việc giám định tư pháp đã ban hành kết luận giám định tư pháp trước ngày Quyết định này có hiệu lực thì chế độ bồi dưỡng giám định tư pháp thực hiện theo Quyết định số </w:t>
            </w:r>
            <w:bookmarkStart w:id="23" w:name="tvpllink_glsocjalms"/>
            <w:r w:rsidRPr="00BD3FE2">
              <w:rPr>
                <w:rFonts w:eastAsia="Times New Roman"/>
                <w:color w:val="000000"/>
                <w:sz w:val="28"/>
                <w:szCs w:val="28"/>
              </w:rPr>
              <w:fldChar w:fldCharType="begin"/>
            </w:r>
            <w:r w:rsidRPr="00BD3FE2">
              <w:rPr>
                <w:rFonts w:eastAsia="Times New Roman"/>
                <w:color w:val="000000"/>
                <w:sz w:val="28"/>
                <w:szCs w:val="28"/>
              </w:rPr>
              <w:instrText xml:space="preserve"> HYPERLINK "https://thuvienphapluat.vn/van-ban/dich-vu-phap-ly/quyet-dinh-01-2014-qd-ttg-che-do-boi-duong-giam-dinh-tu-phap-218095.aspx" \t "_blank" </w:instrText>
            </w:r>
            <w:r w:rsidRPr="00BD3FE2">
              <w:rPr>
                <w:rFonts w:eastAsia="Times New Roman"/>
                <w:color w:val="000000"/>
                <w:sz w:val="28"/>
                <w:szCs w:val="28"/>
              </w:rPr>
              <w:fldChar w:fldCharType="separate"/>
            </w:r>
            <w:r w:rsidRPr="00BD3FE2">
              <w:rPr>
                <w:rFonts w:eastAsia="Times New Roman"/>
                <w:color w:val="0E70C3"/>
                <w:sz w:val="28"/>
                <w:szCs w:val="28"/>
              </w:rPr>
              <w:t>01/2014/QĐ-TTg</w:t>
            </w:r>
            <w:r w:rsidRPr="00BD3FE2">
              <w:rPr>
                <w:rFonts w:eastAsia="Times New Roman"/>
                <w:color w:val="000000"/>
                <w:sz w:val="28"/>
                <w:szCs w:val="28"/>
              </w:rPr>
              <w:fldChar w:fldCharType="end"/>
            </w:r>
            <w:bookmarkEnd w:id="23"/>
            <w:r w:rsidRPr="00BD3FE2">
              <w:rPr>
                <w:rFonts w:eastAsia="Times New Roman"/>
                <w:color w:val="000000"/>
                <w:sz w:val="28"/>
                <w:szCs w:val="28"/>
              </w:rPr>
              <w:t> ngày 01 tháng 01 năm 2014 của Thủ tướng Chính phủ về chế độ bồi dưỡng giám định tư pháp.</w:t>
            </w:r>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2. Trường hợp việc giám định tư pháp đang thực hiện và chưa ban hành kết luận giám định tư pháp kể từ ngày Quyết định này có hiệu lực thì chế độ bồi dưỡng giám định tư pháp thực hiện theo quy định của Quyết định này.</w:t>
            </w:r>
          </w:p>
          <w:p w:rsidR="0035713B" w:rsidRPr="00244C94" w:rsidRDefault="0035713B" w:rsidP="00506645">
            <w:pPr>
              <w:pStyle w:val="NormalWeb"/>
              <w:widowControl w:val="0"/>
              <w:spacing w:before="60" w:beforeAutospacing="0" w:after="0" w:afterAutospacing="0"/>
              <w:jc w:val="both"/>
              <w:rPr>
                <w:sz w:val="28"/>
                <w:szCs w:val="28"/>
              </w:rPr>
            </w:pPr>
          </w:p>
        </w:tc>
        <w:tc>
          <w:tcPr>
            <w:tcW w:w="5812" w:type="dxa"/>
          </w:tcPr>
          <w:p w:rsidR="009A1F9F" w:rsidRPr="009A1F9F" w:rsidRDefault="009A1F9F" w:rsidP="009A1F9F">
            <w:pPr>
              <w:shd w:val="clear" w:color="auto" w:fill="FFFFFF"/>
              <w:spacing w:line="234" w:lineRule="atLeast"/>
              <w:ind w:right="15" w:firstLine="181"/>
              <w:jc w:val="both"/>
              <w:rPr>
                <w:rFonts w:eastAsia="Times New Roman"/>
                <w:color w:val="000000"/>
                <w:sz w:val="28"/>
                <w:szCs w:val="28"/>
              </w:rPr>
            </w:pPr>
            <w:r w:rsidRPr="009A1F9F">
              <w:rPr>
                <w:rFonts w:eastAsia="Times New Roman"/>
                <w:color w:val="000000"/>
                <w:sz w:val="28"/>
                <w:szCs w:val="28"/>
              </w:rPr>
              <w:t xml:space="preserve">1. Trường hợp </w:t>
            </w:r>
            <w:r w:rsidRPr="00101FBE">
              <w:rPr>
                <w:rFonts w:eastAsia="Times New Roman"/>
                <w:color w:val="000000"/>
                <w:sz w:val="28"/>
                <w:szCs w:val="28"/>
              </w:rPr>
              <w:t>việc giám định</w:t>
            </w:r>
            <w:r w:rsidRPr="00101FBE">
              <w:rPr>
                <w:rFonts w:eastAsia="Times New Roman"/>
                <w:color w:val="000000"/>
                <w:sz w:val="28"/>
                <w:szCs w:val="28"/>
              </w:rPr>
              <w:br/>
              <w:t>đã được tiếp nhận, đang được thực hiện giám định, chưa có kết luận giám định ở thời điểm Quyết</w:t>
            </w:r>
            <w:r w:rsidRPr="00101FBE">
              <w:rPr>
                <w:rFonts w:eastAsia="Times New Roman"/>
                <w:color w:val="000000"/>
                <w:sz w:val="28"/>
                <w:szCs w:val="28"/>
              </w:rPr>
              <w:br/>
              <w:t xml:space="preserve">định có hiệu lực thi hành thì </w:t>
            </w:r>
            <w:r w:rsidRPr="009A1F9F">
              <w:rPr>
                <w:rFonts w:eastAsia="Times New Roman"/>
                <w:color w:val="000000"/>
                <w:sz w:val="28"/>
                <w:szCs w:val="28"/>
              </w:rPr>
              <w:t>việc chi trả chế độ bồi dưỡng giám định tư pháp thực hiện theo Quyết định số </w:t>
            </w:r>
            <w:hyperlink r:id="rId7" w:tgtFrame="_blank" w:history="1">
              <w:r w:rsidRPr="009A1F9F">
                <w:rPr>
                  <w:rFonts w:eastAsia="Times New Roman"/>
                  <w:color w:val="000000"/>
                  <w:sz w:val="28"/>
                  <w:szCs w:val="28"/>
                </w:rPr>
                <w:t>08/2025/QĐ-TTg</w:t>
              </w:r>
            </w:hyperlink>
            <w:r w:rsidRPr="009A1F9F">
              <w:rPr>
                <w:rFonts w:eastAsia="Times New Roman"/>
                <w:color w:val="000000"/>
                <w:sz w:val="28"/>
                <w:szCs w:val="28"/>
              </w:rPr>
              <w:t> ngày 04 tháng 4 năm 2025 của Thủ tướng Chính phủ về chế độ bồi dưỡng giám định tư pháp.</w:t>
            </w:r>
          </w:p>
          <w:p w:rsidR="009A1F9F" w:rsidRPr="009A1F9F" w:rsidRDefault="009A1F9F" w:rsidP="009A1F9F">
            <w:pPr>
              <w:shd w:val="clear" w:color="auto" w:fill="FFFFFF"/>
              <w:spacing w:before="120" w:after="120" w:line="234" w:lineRule="atLeast"/>
              <w:ind w:right="15" w:firstLine="181"/>
              <w:jc w:val="both"/>
              <w:rPr>
                <w:rFonts w:eastAsia="Times New Roman"/>
                <w:color w:val="000000"/>
                <w:sz w:val="28"/>
                <w:szCs w:val="28"/>
              </w:rPr>
            </w:pPr>
            <w:r w:rsidRPr="009A1F9F">
              <w:rPr>
                <w:rFonts w:eastAsia="Times New Roman"/>
                <w:color w:val="000000"/>
                <w:sz w:val="28"/>
                <w:szCs w:val="28"/>
              </w:rPr>
              <w:t>2. Trường hợp việc giám định tư pháp được trưng cầu, tiếp nhận kể từ ngày Quyết định này có hiệu lực thì việc chi trả chế độ bồi dưỡng giám định tư pháp thực hiện theo quy định của Quyết định này.</w:t>
            </w:r>
          </w:p>
          <w:p w:rsidR="0035713B" w:rsidRPr="00244C94" w:rsidRDefault="0035713B" w:rsidP="00506645">
            <w:pPr>
              <w:pStyle w:val="NormalWeb"/>
              <w:widowControl w:val="0"/>
              <w:spacing w:before="60" w:beforeAutospacing="0" w:after="0" w:afterAutospacing="0"/>
              <w:ind w:right="47"/>
              <w:jc w:val="both"/>
              <w:rPr>
                <w:bCs/>
                <w:sz w:val="28"/>
                <w:szCs w:val="28"/>
              </w:rPr>
            </w:pPr>
          </w:p>
        </w:tc>
        <w:tc>
          <w:tcPr>
            <w:tcW w:w="4050" w:type="dxa"/>
          </w:tcPr>
          <w:p w:rsidR="0035713B" w:rsidRPr="0055408E" w:rsidRDefault="0055408E" w:rsidP="0055408E">
            <w:pPr>
              <w:pStyle w:val="ListParagraph"/>
              <w:numPr>
                <w:ilvl w:val="0"/>
                <w:numId w:val="3"/>
              </w:numPr>
              <w:spacing w:before="60"/>
              <w:jc w:val="both"/>
              <w:rPr>
                <w:szCs w:val="28"/>
              </w:rPr>
            </w:pPr>
            <w:r>
              <w:rPr>
                <w:szCs w:val="28"/>
              </w:rPr>
              <w:t>Bổ sung</w:t>
            </w:r>
          </w:p>
        </w:tc>
      </w:tr>
      <w:tr w:rsidR="0035713B" w:rsidRPr="00244C94" w:rsidTr="00506645">
        <w:trPr>
          <w:trHeight w:val="764"/>
        </w:trPr>
        <w:tc>
          <w:tcPr>
            <w:tcW w:w="581" w:type="dxa"/>
            <w:vAlign w:val="center"/>
          </w:tcPr>
          <w:p w:rsidR="0035713B" w:rsidRPr="00244C94" w:rsidRDefault="0035713B" w:rsidP="0035713B">
            <w:pPr>
              <w:pStyle w:val="NormalWeb"/>
              <w:widowControl w:val="0"/>
              <w:shd w:val="clear" w:color="auto" w:fill="FFFFFF"/>
              <w:spacing w:before="60" w:beforeAutospacing="0" w:after="0" w:afterAutospacing="0"/>
              <w:jc w:val="center"/>
              <w:rPr>
                <w:b/>
                <w:sz w:val="28"/>
                <w:szCs w:val="28"/>
              </w:rPr>
            </w:pPr>
            <w:r>
              <w:rPr>
                <w:b/>
                <w:sz w:val="28"/>
                <w:szCs w:val="28"/>
              </w:rPr>
              <w:t>8</w:t>
            </w:r>
          </w:p>
        </w:tc>
        <w:tc>
          <w:tcPr>
            <w:tcW w:w="5544" w:type="dxa"/>
          </w:tcPr>
          <w:p w:rsidR="0035713B" w:rsidRPr="00BD3FE2" w:rsidRDefault="0035713B" w:rsidP="00506645">
            <w:pPr>
              <w:shd w:val="clear" w:color="auto" w:fill="FFFFFF"/>
              <w:spacing w:line="234" w:lineRule="atLeast"/>
              <w:ind w:right="0"/>
              <w:jc w:val="both"/>
              <w:rPr>
                <w:rFonts w:eastAsia="Times New Roman"/>
                <w:color w:val="000000"/>
                <w:sz w:val="28"/>
                <w:szCs w:val="28"/>
              </w:rPr>
            </w:pPr>
            <w:bookmarkStart w:id="24" w:name="dieu_8"/>
            <w:r w:rsidRPr="00BD3FE2">
              <w:rPr>
                <w:rFonts w:eastAsia="Times New Roman"/>
                <w:b/>
                <w:bCs/>
                <w:color w:val="000000"/>
                <w:sz w:val="28"/>
                <w:szCs w:val="28"/>
              </w:rPr>
              <w:t>Điều 8. Hiệu lực thi hành</w:t>
            </w:r>
            <w:bookmarkEnd w:id="24"/>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1. Quyết định này có hiệu lực thi hành từ ngày 20 tháng 5 năm 2025.</w:t>
            </w:r>
          </w:p>
          <w:p w:rsidR="0035713B" w:rsidRPr="00BD3FE2" w:rsidRDefault="0035713B" w:rsidP="00506645">
            <w:pPr>
              <w:shd w:val="clear" w:color="auto" w:fill="FFFFFF"/>
              <w:spacing w:line="234" w:lineRule="atLeast"/>
              <w:ind w:right="0"/>
              <w:jc w:val="both"/>
              <w:rPr>
                <w:rFonts w:eastAsia="Times New Roman"/>
                <w:color w:val="000000"/>
                <w:sz w:val="28"/>
                <w:szCs w:val="28"/>
              </w:rPr>
            </w:pPr>
            <w:r w:rsidRPr="00BD3FE2">
              <w:rPr>
                <w:rFonts w:eastAsia="Times New Roman"/>
                <w:color w:val="000000"/>
                <w:sz w:val="28"/>
                <w:szCs w:val="28"/>
              </w:rPr>
              <w:t>2. Quyết định số </w:t>
            </w:r>
            <w:bookmarkStart w:id="25" w:name="tvpllink_glsocjalms_1"/>
            <w:r w:rsidRPr="00BD3FE2">
              <w:rPr>
                <w:rFonts w:eastAsia="Times New Roman"/>
                <w:color w:val="000000"/>
                <w:sz w:val="28"/>
                <w:szCs w:val="28"/>
              </w:rPr>
              <w:fldChar w:fldCharType="begin"/>
            </w:r>
            <w:r w:rsidRPr="00BD3FE2">
              <w:rPr>
                <w:rFonts w:eastAsia="Times New Roman"/>
                <w:color w:val="000000"/>
                <w:sz w:val="28"/>
                <w:szCs w:val="28"/>
              </w:rPr>
              <w:instrText xml:space="preserve"> HYPERLINK "https://thuvienphapluat.vn/van-ban/dich-vu-phap-ly/quyet-dinh-01-2014-qd-ttg-che-do-boi-duong-giam-dinh-tu-phap-218095.aspx" \t "_blank" </w:instrText>
            </w:r>
            <w:r w:rsidRPr="00BD3FE2">
              <w:rPr>
                <w:rFonts w:eastAsia="Times New Roman"/>
                <w:color w:val="000000"/>
                <w:sz w:val="28"/>
                <w:szCs w:val="28"/>
              </w:rPr>
              <w:fldChar w:fldCharType="separate"/>
            </w:r>
            <w:r w:rsidRPr="00BD3FE2">
              <w:rPr>
                <w:rFonts w:eastAsia="Times New Roman"/>
                <w:color w:val="0E70C3"/>
                <w:sz w:val="28"/>
                <w:szCs w:val="28"/>
              </w:rPr>
              <w:t>01/2014/QĐ-TTg</w:t>
            </w:r>
            <w:r w:rsidRPr="00BD3FE2">
              <w:rPr>
                <w:rFonts w:eastAsia="Times New Roman"/>
                <w:color w:val="000000"/>
                <w:sz w:val="28"/>
                <w:szCs w:val="28"/>
              </w:rPr>
              <w:fldChar w:fldCharType="end"/>
            </w:r>
            <w:bookmarkEnd w:id="25"/>
            <w:r w:rsidRPr="00BD3FE2">
              <w:rPr>
                <w:rFonts w:eastAsia="Times New Roman"/>
                <w:color w:val="000000"/>
                <w:sz w:val="28"/>
                <w:szCs w:val="28"/>
              </w:rPr>
              <w:t> ngày 01 tháng 01 năm 2014 của Thủ tướng Chính phủ về chế độ bồi dưỡng giám định tư pháp hết hiệu lực thi hành kể từ ngày Quyết định này có hiệu lực.</w:t>
            </w:r>
          </w:p>
          <w:p w:rsidR="0035713B" w:rsidRPr="00244C94" w:rsidRDefault="0035713B" w:rsidP="00506645">
            <w:pPr>
              <w:pStyle w:val="NormalWeb"/>
              <w:widowControl w:val="0"/>
              <w:spacing w:before="60" w:beforeAutospacing="0" w:after="0" w:afterAutospacing="0"/>
              <w:jc w:val="both"/>
              <w:rPr>
                <w:sz w:val="28"/>
                <w:szCs w:val="28"/>
              </w:rPr>
            </w:pPr>
          </w:p>
        </w:tc>
        <w:tc>
          <w:tcPr>
            <w:tcW w:w="5812" w:type="dxa"/>
          </w:tcPr>
          <w:p w:rsidR="00EA6DF6" w:rsidRPr="00EA6DF6" w:rsidRDefault="00EA6DF6" w:rsidP="00506645">
            <w:pPr>
              <w:shd w:val="clear" w:color="auto" w:fill="FFFFFF"/>
              <w:spacing w:line="234" w:lineRule="atLeast"/>
              <w:ind w:right="47"/>
              <w:jc w:val="both"/>
              <w:rPr>
                <w:rFonts w:eastAsia="Times New Roman"/>
                <w:color w:val="000000"/>
                <w:sz w:val="28"/>
                <w:szCs w:val="28"/>
              </w:rPr>
            </w:pPr>
            <w:r w:rsidRPr="00EA6DF6">
              <w:rPr>
                <w:rFonts w:eastAsia="Times New Roman"/>
                <w:b/>
                <w:bCs/>
                <w:color w:val="000000"/>
                <w:sz w:val="28"/>
                <w:szCs w:val="28"/>
              </w:rPr>
              <w:t xml:space="preserve">Điều 3. </w:t>
            </w:r>
            <w:r w:rsidRPr="00EA6DF6">
              <w:rPr>
                <w:rFonts w:eastAsia="Times New Roman"/>
                <w:color w:val="000000"/>
                <w:sz w:val="28"/>
                <w:szCs w:val="28"/>
              </w:rPr>
              <w:t>Quyết định này có hiệu lực thi hành từ ngày ký ban hành.</w:t>
            </w:r>
          </w:p>
          <w:p w:rsidR="0035713B" w:rsidRPr="00244C94" w:rsidRDefault="0035713B" w:rsidP="00506645">
            <w:pPr>
              <w:pStyle w:val="NormalWeb"/>
              <w:widowControl w:val="0"/>
              <w:spacing w:before="60" w:beforeAutospacing="0" w:after="0" w:afterAutospacing="0"/>
              <w:ind w:right="47"/>
              <w:jc w:val="both"/>
              <w:rPr>
                <w:bCs/>
                <w:sz w:val="28"/>
                <w:szCs w:val="28"/>
              </w:rPr>
            </w:pPr>
          </w:p>
        </w:tc>
        <w:tc>
          <w:tcPr>
            <w:tcW w:w="4050" w:type="dxa"/>
          </w:tcPr>
          <w:p w:rsidR="0035713B" w:rsidRPr="00506645" w:rsidRDefault="00506645" w:rsidP="00506645">
            <w:pPr>
              <w:pStyle w:val="ListParagraph"/>
              <w:numPr>
                <w:ilvl w:val="0"/>
                <w:numId w:val="3"/>
              </w:numPr>
              <w:spacing w:before="60"/>
              <w:jc w:val="both"/>
              <w:rPr>
                <w:szCs w:val="28"/>
              </w:rPr>
            </w:pPr>
            <w:r>
              <w:rPr>
                <w:szCs w:val="28"/>
              </w:rPr>
              <w:t>Bổ sung</w:t>
            </w:r>
          </w:p>
        </w:tc>
      </w:tr>
      <w:tr w:rsidR="0035713B" w:rsidRPr="00244C94" w:rsidTr="00506645">
        <w:trPr>
          <w:trHeight w:val="764"/>
        </w:trPr>
        <w:tc>
          <w:tcPr>
            <w:tcW w:w="581" w:type="dxa"/>
            <w:vAlign w:val="center"/>
          </w:tcPr>
          <w:p w:rsidR="0035713B" w:rsidRPr="00244C94" w:rsidRDefault="0035713B" w:rsidP="0035713B">
            <w:pPr>
              <w:pStyle w:val="NormalWeb"/>
              <w:widowControl w:val="0"/>
              <w:shd w:val="clear" w:color="auto" w:fill="FFFFFF"/>
              <w:spacing w:before="60" w:beforeAutospacing="0" w:after="0" w:afterAutospacing="0"/>
              <w:jc w:val="center"/>
              <w:rPr>
                <w:b/>
                <w:sz w:val="28"/>
                <w:szCs w:val="28"/>
              </w:rPr>
            </w:pPr>
            <w:r>
              <w:rPr>
                <w:b/>
                <w:sz w:val="28"/>
                <w:szCs w:val="28"/>
              </w:rPr>
              <w:lastRenderedPageBreak/>
              <w:t>9</w:t>
            </w:r>
          </w:p>
        </w:tc>
        <w:tc>
          <w:tcPr>
            <w:tcW w:w="5544" w:type="dxa"/>
          </w:tcPr>
          <w:p w:rsidR="0035713B" w:rsidRPr="00BD3FE2" w:rsidRDefault="0035713B" w:rsidP="00506645">
            <w:pPr>
              <w:shd w:val="clear" w:color="auto" w:fill="FFFFFF"/>
              <w:spacing w:line="234" w:lineRule="atLeast"/>
              <w:ind w:right="0"/>
              <w:jc w:val="both"/>
              <w:rPr>
                <w:rFonts w:eastAsia="Times New Roman"/>
                <w:color w:val="000000"/>
                <w:sz w:val="28"/>
                <w:szCs w:val="28"/>
              </w:rPr>
            </w:pPr>
            <w:bookmarkStart w:id="26" w:name="dieu_9"/>
            <w:r w:rsidRPr="00BD3FE2">
              <w:rPr>
                <w:rFonts w:eastAsia="Times New Roman"/>
                <w:b/>
                <w:bCs/>
                <w:color w:val="000000"/>
                <w:sz w:val="28"/>
                <w:szCs w:val="28"/>
              </w:rPr>
              <w:t>Điều 9. Trách nhiệm thi hành</w:t>
            </w:r>
            <w:bookmarkEnd w:id="26"/>
          </w:p>
          <w:p w:rsidR="0035713B" w:rsidRPr="00BD3FE2" w:rsidRDefault="0035713B" w:rsidP="00506645">
            <w:pPr>
              <w:shd w:val="clear" w:color="auto" w:fill="FFFFFF"/>
              <w:spacing w:before="120" w:after="120" w:line="234" w:lineRule="atLeast"/>
              <w:ind w:right="0"/>
              <w:jc w:val="both"/>
              <w:rPr>
                <w:rFonts w:eastAsia="Times New Roman"/>
                <w:color w:val="000000"/>
                <w:sz w:val="28"/>
                <w:szCs w:val="28"/>
              </w:rPr>
            </w:pPr>
            <w:r w:rsidRPr="00BD3FE2">
              <w:rPr>
                <w:rFonts w:eastAsia="Times New Roman"/>
                <w:color w:val="000000"/>
                <w:sz w:val="28"/>
                <w:szCs w:val="28"/>
              </w:rPr>
              <w:t>Bộ trưởng, Thủ trưởng cơ quan ngang bộ, Thủ trưởng cơ quan thuộc Chính phủ, Chủ tịch Ủy ban nhân dân tỉnh, thành phố trực thuộc trung ương và Thủ trưởng các cơ quan có liên quan chịu trách nhiệm thi hành Quyết định này.</w:t>
            </w:r>
          </w:p>
          <w:p w:rsidR="0035713B" w:rsidRPr="00244C94" w:rsidRDefault="0035713B" w:rsidP="00506645">
            <w:pPr>
              <w:pStyle w:val="NormalWeb"/>
              <w:widowControl w:val="0"/>
              <w:spacing w:before="60" w:beforeAutospacing="0" w:after="0" w:afterAutospacing="0"/>
              <w:jc w:val="both"/>
              <w:rPr>
                <w:sz w:val="28"/>
                <w:szCs w:val="28"/>
              </w:rPr>
            </w:pPr>
          </w:p>
        </w:tc>
        <w:tc>
          <w:tcPr>
            <w:tcW w:w="5812" w:type="dxa"/>
          </w:tcPr>
          <w:p w:rsidR="00F5747A" w:rsidRPr="00506645" w:rsidRDefault="00F5747A" w:rsidP="00506645">
            <w:pPr>
              <w:shd w:val="clear" w:color="auto" w:fill="FFFFFF"/>
              <w:spacing w:line="234" w:lineRule="atLeast"/>
              <w:ind w:right="47"/>
              <w:jc w:val="both"/>
              <w:rPr>
                <w:rFonts w:eastAsia="Times New Roman"/>
                <w:color w:val="000000"/>
                <w:sz w:val="28"/>
                <w:szCs w:val="28"/>
              </w:rPr>
            </w:pPr>
            <w:r w:rsidRPr="00506645">
              <w:rPr>
                <w:rFonts w:eastAsia="Times New Roman"/>
                <w:b/>
                <w:bCs/>
                <w:color w:val="000000"/>
                <w:sz w:val="28"/>
                <w:szCs w:val="28"/>
              </w:rPr>
              <w:t xml:space="preserve">Điều 4. </w:t>
            </w:r>
            <w:r w:rsidRPr="00506645">
              <w:rPr>
                <w:rFonts w:eastAsia="Times New Roman"/>
                <w:color w:val="000000"/>
                <w:sz w:val="28"/>
                <w:szCs w:val="28"/>
              </w:rPr>
              <w:t>Bộ trưởng, Thủ trưởng cơ quan ngang bộ, Thủ trưởng cơ quan thuộc Chính phủ, Chủ tịch Ủy ban nhân dân tỉnh, thành phố trực thuộc trung ương và Thủ trưởng các cơ quan có liên quan chịu trách nhiệm thi hành Quyết định này.</w:t>
            </w:r>
          </w:p>
          <w:p w:rsidR="00F5747A" w:rsidRPr="00506645" w:rsidRDefault="00F5747A" w:rsidP="00506645">
            <w:pPr>
              <w:shd w:val="clear" w:color="auto" w:fill="FFFFFF"/>
              <w:spacing w:before="120" w:after="120" w:line="234" w:lineRule="atLeast"/>
              <w:ind w:right="47"/>
              <w:jc w:val="both"/>
              <w:rPr>
                <w:rFonts w:eastAsia="Times New Roman"/>
                <w:color w:val="000000"/>
                <w:sz w:val="28"/>
                <w:szCs w:val="28"/>
              </w:rPr>
            </w:pPr>
            <w:r w:rsidRPr="00506645">
              <w:rPr>
                <w:rFonts w:eastAsia="Times New Roman"/>
                <w:color w:val="000000"/>
                <w:sz w:val="28"/>
                <w:szCs w:val="28"/>
              </w:rPr>
              <w:t> </w:t>
            </w:r>
          </w:p>
          <w:p w:rsidR="0035713B" w:rsidRPr="00244C94" w:rsidRDefault="0035713B" w:rsidP="00506645">
            <w:pPr>
              <w:pStyle w:val="NormalWeb"/>
              <w:widowControl w:val="0"/>
              <w:spacing w:before="60" w:beforeAutospacing="0" w:after="0" w:afterAutospacing="0"/>
              <w:ind w:right="47"/>
              <w:jc w:val="both"/>
              <w:rPr>
                <w:bCs/>
                <w:sz w:val="28"/>
                <w:szCs w:val="28"/>
              </w:rPr>
            </w:pPr>
          </w:p>
        </w:tc>
        <w:tc>
          <w:tcPr>
            <w:tcW w:w="4050" w:type="dxa"/>
          </w:tcPr>
          <w:p w:rsidR="0035713B" w:rsidRPr="00506645" w:rsidRDefault="00506645" w:rsidP="00506645">
            <w:pPr>
              <w:pStyle w:val="ListParagraph"/>
              <w:numPr>
                <w:ilvl w:val="0"/>
                <w:numId w:val="3"/>
              </w:numPr>
              <w:spacing w:before="60"/>
              <w:jc w:val="both"/>
              <w:rPr>
                <w:szCs w:val="28"/>
              </w:rPr>
            </w:pPr>
            <w:r>
              <w:rPr>
                <w:szCs w:val="28"/>
              </w:rPr>
              <w:t>Bổ sung</w:t>
            </w:r>
          </w:p>
        </w:tc>
      </w:tr>
    </w:tbl>
    <w:p w:rsidR="00C13266" w:rsidRDefault="00C13266"/>
    <w:sectPr w:rsidR="00C13266" w:rsidSect="00BE4905">
      <w:headerReference w:type="default" r:id="rId8"/>
      <w:pgSz w:w="16834" w:h="11909" w:orient="landscape" w:code="9"/>
      <w:pgMar w:top="851" w:right="1440" w:bottom="99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FF6" w:rsidRDefault="00B85FF6" w:rsidP="00C13266">
      <w:r>
        <w:separator/>
      </w:r>
    </w:p>
  </w:endnote>
  <w:endnote w:type="continuationSeparator" w:id="0">
    <w:p w:rsidR="00B85FF6" w:rsidRDefault="00B85FF6" w:rsidP="00C1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FF6" w:rsidRDefault="00B85FF6" w:rsidP="00C13266">
      <w:r>
        <w:separator/>
      </w:r>
    </w:p>
  </w:footnote>
  <w:footnote w:type="continuationSeparator" w:id="0">
    <w:p w:rsidR="00B85FF6" w:rsidRDefault="00B85FF6" w:rsidP="00C132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7471820"/>
      <w:docPartObj>
        <w:docPartGallery w:val="Page Numbers (Top of Page)"/>
        <w:docPartUnique/>
      </w:docPartObj>
    </w:sdtPr>
    <w:sdtEndPr>
      <w:rPr>
        <w:noProof/>
      </w:rPr>
    </w:sdtEndPr>
    <w:sdtContent>
      <w:p w:rsidR="00BE4905" w:rsidRDefault="00BE4905">
        <w:pPr>
          <w:pStyle w:val="Header"/>
          <w:jc w:val="center"/>
        </w:pPr>
        <w:r>
          <w:fldChar w:fldCharType="begin"/>
        </w:r>
        <w:r>
          <w:instrText xml:space="preserve"> PAGE   \* MERGEFORMAT </w:instrText>
        </w:r>
        <w:r>
          <w:fldChar w:fldCharType="separate"/>
        </w:r>
        <w:r w:rsidR="00984632">
          <w:rPr>
            <w:noProof/>
          </w:rPr>
          <w:t>11</w:t>
        </w:r>
        <w:r>
          <w:rPr>
            <w:noProof/>
          </w:rPr>
          <w:fldChar w:fldCharType="end"/>
        </w:r>
      </w:p>
    </w:sdtContent>
  </w:sdt>
  <w:p w:rsidR="00BE4905" w:rsidRDefault="00BE490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31728"/>
    <w:multiLevelType w:val="hybridMultilevel"/>
    <w:tmpl w:val="5D7A9884"/>
    <w:lvl w:ilvl="0" w:tplc="A5A65D28">
      <w:start w:val="5"/>
      <w:numFmt w:val="bullet"/>
      <w:lvlText w:val="-"/>
      <w:lvlJc w:val="left"/>
      <w:pPr>
        <w:ind w:left="720" w:hanging="360"/>
      </w:pPr>
      <w:rPr>
        <w:rFonts w:ascii="Times New Roman" w:eastAsia="Calibri"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E3C93"/>
    <w:multiLevelType w:val="hybridMultilevel"/>
    <w:tmpl w:val="724AEE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AF23174"/>
    <w:multiLevelType w:val="hybridMultilevel"/>
    <w:tmpl w:val="0B841268"/>
    <w:lvl w:ilvl="0" w:tplc="4FCA7F4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7B43DC"/>
    <w:multiLevelType w:val="hybridMultilevel"/>
    <w:tmpl w:val="6AF6E51A"/>
    <w:lvl w:ilvl="0" w:tplc="53B0DF8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66"/>
    <w:rsid w:val="00013EDF"/>
    <w:rsid w:val="001A2F87"/>
    <w:rsid w:val="001B752E"/>
    <w:rsid w:val="00220720"/>
    <w:rsid w:val="00311660"/>
    <w:rsid w:val="0035713B"/>
    <w:rsid w:val="003B0925"/>
    <w:rsid w:val="003B18BB"/>
    <w:rsid w:val="004016CD"/>
    <w:rsid w:val="00411ABF"/>
    <w:rsid w:val="00506645"/>
    <w:rsid w:val="00507C17"/>
    <w:rsid w:val="005320BF"/>
    <w:rsid w:val="00537DB0"/>
    <w:rsid w:val="0055408E"/>
    <w:rsid w:val="005F4F86"/>
    <w:rsid w:val="00767797"/>
    <w:rsid w:val="00904D7B"/>
    <w:rsid w:val="00984632"/>
    <w:rsid w:val="009A1F9F"/>
    <w:rsid w:val="00A22B9D"/>
    <w:rsid w:val="00A26074"/>
    <w:rsid w:val="00AB434A"/>
    <w:rsid w:val="00B85FF6"/>
    <w:rsid w:val="00BD53EE"/>
    <w:rsid w:val="00BE4905"/>
    <w:rsid w:val="00C13266"/>
    <w:rsid w:val="00C762B9"/>
    <w:rsid w:val="00D67692"/>
    <w:rsid w:val="00DC6128"/>
    <w:rsid w:val="00E17743"/>
    <w:rsid w:val="00E6777A"/>
    <w:rsid w:val="00E92144"/>
    <w:rsid w:val="00EA6DF6"/>
    <w:rsid w:val="00F5747A"/>
    <w:rsid w:val="00F574C7"/>
    <w:rsid w:val="00FE5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56F4"/>
  <w15:chartTrackingRefBased/>
  <w15:docId w15:val="{178A4D77-6494-4245-BAB5-444D4368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266"/>
    <w:pPr>
      <w:spacing w:after="0" w:line="240" w:lineRule="auto"/>
      <w:ind w:right="-360"/>
    </w:pPr>
    <w:rPr>
      <w:rFonts w:eastAsia="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Char"/>
    <w:basedOn w:val="Normal"/>
    <w:link w:val="NormalWebChar"/>
    <w:uiPriority w:val="99"/>
    <w:unhideWhenUsed/>
    <w:qFormat/>
    <w:rsid w:val="00C13266"/>
    <w:pPr>
      <w:spacing w:before="100" w:beforeAutospacing="1" w:after="100" w:afterAutospacing="1"/>
      <w:ind w:right="0"/>
    </w:pPr>
    <w:rPr>
      <w:rFonts w:eastAsia="Times New Roman"/>
    </w:rPr>
  </w:style>
  <w:style w:type="paragraph" w:styleId="FootnoteText">
    <w:name w:val="footnote text"/>
    <w:basedOn w:val="Normal"/>
    <w:link w:val="FootnoteTextChar"/>
    <w:uiPriority w:val="99"/>
    <w:semiHidden/>
    <w:unhideWhenUsed/>
    <w:rsid w:val="00C13266"/>
    <w:rPr>
      <w:sz w:val="20"/>
      <w:szCs w:val="20"/>
    </w:rPr>
  </w:style>
  <w:style w:type="character" w:customStyle="1" w:styleId="FootnoteTextChar">
    <w:name w:val="Footnote Text Char"/>
    <w:basedOn w:val="DefaultParagraphFont"/>
    <w:link w:val="FootnoteText"/>
    <w:uiPriority w:val="99"/>
    <w:semiHidden/>
    <w:rsid w:val="00C13266"/>
    <w:rPr>
      <w:rFonts w:eastAsia="Calibri" w:cs="Times New Roman"/>
      <w:sz w:val="20"/>
      <w:szCs w:val="20"/>
    </w:rPr>
  </w:style>
  <w:style w:type="character" w:styleId="FootnoteReference">
    <w:name w:val="footnote reference"/>
    <w:uiPriority w:val="99"/>
    <w:unhideWhenUsed/>
    <w:rsid w:val="00C13266"/>
    <w:rPr>
      <w:vertAlign w:val="superscript"/>
    </w:rPr>
  </w:style>
  <w:style w:type="character" w:customStyle="1" w:styleId="NormalWebChar">
    <w:name w:val="Normal (Web) Char"/>
    <w:aliases w:val=" Char Char,Char Char"/>
    <w:link w:val="NormalWeb"/>
    <w:uiPriority w:val="99"/>
    <w:locked/>
    <w:rsid w:val="00C13266"/>
    <w:rPr>
      <w:rFonts w:eastAsia="Times New Roman" w:cs="Times New Roman"/>
      <w:sz w:val="24"/>
      <w:szCs w:val="24"/>
    </w:rPr>
  </w:style>
  <w:style w:type="paragraph" w:styleId="ListParagraph">
    <w:name w:val="List Paragraph"/>
    <w:basedOn w:val="Normal"/>
    <w:uiPriority w:val="34"/>
    <w:qFormat/>
    <w:rsid w:val="00DC6128"/>
    <w:pPr>
      <w:spacing w:after="160" w:line="259" w:lineRule="auto"/>
      <w:ind w:left="720" w:right="0"/>
      <w:contextualSpacing/>
    </w:pPr>
    <w:rPr>
      <w:rFonts w:eastAsiaTheme="minorHAnsi" w:cstheme="minorBidi"/>
      <w:sz w:val="28"/>
      <w:szCs w:val="22"/>
    </w:rPr>
  </w:style>
  <w:style w:type="paragraph" w:styleId="Header">
    <w:name w:val="header"/>
    <w:basedOn w:val="Normal"/>
    <w:link w:val="HeaderChar"/>
    <w:uiPriority w:val="99"/>
    <w:unhideWhenUsed/>
    <w:rsid w:val="00BE4905"/>
    <w:pPr>
      <w:tabs>
        <w:tab w:val="center" w:pos="4680"/>
        <w:tab w:val="right" w:pos="9360"/>
      </w:tabs>
    </w:pPr>
  </w:style>
  <w:style w:type="character" w:customStyle="1" w:styleId="HeaderChar">
    <w:name w:val="Header Char"/>
    <w:basedOn w:val="DefaultParagraphFont"/>
    <w:link w:val="Header"/>
    <w:uiPriority w:val="99"/>
    <w:rsid w:val="00BE4905"/>
    <w:rPr>
      <w:rFonts w:eastAsia="Calibri" w:cs="Times New Roman"/>
      <w:sz w:val="24"/>
      <w:szCs w:val="24"/>
    </w:rPr>
  </w:style>
  <w:style w:type="paragraph" w:styleId="Footer">
    <w:name w:val="footer"/>
    <w:basedOn w:val="Normal"/>
    <w:link w:val="FooterChar"/>
    <w:uiPriority w:val="99"/>
    <w:unhideWhenUsed/>
    <w:rsid w:val="00BE4905"/>
    <w:pPr>
      <w:tabs>
        <w:tab w:val="center" w:pos="4680"/>
        <w:tab w:val="right" w:pos="9360"/>
      </w:tabs>
    </w:pPr>
  </w:style>
  <w:style w:type="character" w:customStyle="1" w:styleId="FooterChar">
    <w:name w:val="Footer Char"/>
    <w:basedOn w:val="DefaultParagraphFont"/>
    <w:link w:val="Footer"/>
    <w:uiPriority w:val="99"/>
    <w:rsid w:val="00BE4905"/>
    <w:rPr>
      <w:rFonts w:eastAsia="Calibri" w:cs="Times New Roman"/>
      <w:sz w:val="24"/>
      <w:szCs w:val="24"/>
    </w:rPr>
  </w:style>
  <w:style w:type="paragraph" w:styleId="BalloonText">
    <w:name w:val="Balloon Text"/>
    <w:basedOn w:val="Normal"/>
    <w:link w:val="BalloonTextChar"/>
    <w:uiPriority w:val="99"/>
    <w:semiHidden/>
    <w:unhideWhenUsed/>
    <w:rsid w:val="00BE49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90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dich-vu-phap-ly/quyet-dinh-01-2014-qd-ttg-che-do-boi-duong-giam-dinh-tu-phap-21809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18</Pages>
  <Words>4603</Words>
  <Characters>26242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LTSC</cp:lastModifiedBy>
  <cp:revision>5</cp:revision>
  <cp:lastPrinted>2026-03-12T10:40:00Z</cp:lastPrinted>
  <dcterms:created xsi:type="dcterms:W3CDTF">2026-03-05T03:19:00Z</dcterms:created>
  <dcterms:modified xsi:type="dcterms:W3CDTF">2026-03-17T09:32:00Z</dcterms:modified>
</cp:coreProperties>
</file>